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C9842" w14:textId="77777777" w:rsidR="009F7255" w:rsidRDefault="009F7255" w:rsidP="009F7255">
      <w:pPr>
        <w:rPr>
          <w:b/>
          <w:bCs/>
          <w:sz w:val="24"/>
          <w:szCs w:val="24"/>
        </w:rPr>
      </w:pPr>
      <w:r w:rsidRPr="00FA00D6">
        <w:rPr>
          <w:rFonts w:hint="eastAsia"/>
          <w:b/>
          <w:bCs/>
          <w:sz w:val="24"/>
          <w:szCs w:val="24"/>
        </w:rPr>
        <w:t>A</w:t>
      </w:r>
      <w:r w:rsidRPr="00FA00D6">
        <w:rPr>
          <w:b/>
          <w:bCs/>
          <w:sz w:val="24"/>
          <w:szCs w:val="24"/>
        </w:rPr>
        <w:t>ppendix</w:t>
      </w:r>
    </w:p>
    <w:p w14:paraId="7C8A2252" w14:textId="77777777" w:rsidR="009F7255" w:rsidRPr="00FA00D6" w:rsidRDefault="009F7255" w:rsidP="009F7255">
      <w:pPr>
        <w:rPr>
          <w:b/>
          <w:bCs/>
          <w:sz w:val="24"/>
          <w:szCs w:val="24"/>
        </w:rPr>
      </w:pPr>
    </w:p>
    <w:p w14:paraId="5A53A364" w14:textId="77777777" w:rsidR="009F7255" w:rsidRDefault="009F7255" w:rsidP="009F725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noProof/>
        </w:rPr>
        <w:drawing>
          <wp:inline distT="0" distB="0" distL="0" distR="0" wp14:anchorId="043F9992" wp14:editId="16F31656">
            <wp:extent cx="3662214" cy="2009676"/>
            <wp:effectExtent l="0" t="0" r="0" b="0"/>
            <wp:docPr id="1113191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912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2128" cy="201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01A0E" w14:textId="77777777" w:rsidR="009F7255" w:rsidRPr="00FA00D6" w:rsidRDefault="009F7255" w:rsidP="009F725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FA00D6">
        <w:rPr>
          <w:rFonts w:ascii="Times New Roman" w:hAnsi="Times New Roman" w:cs="Times New Roman" w:hint="eastAsia"/>
          <w:kern w:val="0"/>
          <w:szCs w:val="21"/>
        </w:rPr>
        <w:t>F</w:t>
      </w:r>
      <w:r w:rsidRPr="00FA00D6">
        <w:rPr>
          <w:rFonts w:ascii="Times New Roman" w:hAnsi="Times New Roman" w:cs="Times New Roman"/>
          <w:kern w:val="0"/>
          <w:szCs w:val="21"/>
        </w:rPr>
        <w:t xml:space="preserve">ig. S1. The 11-year sliding correlation coefficients of local precipitation and SST over the SCS. The </w:t>
      </w:r>
      <w:r>
        <w:rPr>
          <w:rFonts w:ascii="Times New Roman" w:hAnsi="Times New Roman" w:cs="Times New Roman"/>
          <w:kern w:val="0"/>
          <w:szCs w:val="21"/>
        </w:rPr>
        <w:t>yellow, orange and red</w:t>
      </w:r>
      <w:r w:rsidRPr="00FA00D6">
        <w:rPr>
          <w:rFonts w:ascii="Times New Roman" w:hAnsi="Times New Roman" w:cs="Times New Roman"/>
          <w:kern w:val="0"/>
          <w:szCs w:val="21"/>
        </w:rPr>
        <w:t xml:space="preserve"> circles indicate </w:t>
      </w:r>
      <w:r>
        <w:rPr>
          <w:rFonts w:ascii="Times New Roman" w:hAnsi="Times New Roman" w:cs="Times New Roman"/>
          <w:kern w:val="0"/>
          <w:szCs w:val="21"/>
        </w:rPr>
        <w:t>the correlation exceedin</w:t>
      </w:r>
      <w:r w:rsidRPr="00FA00D6">
        <w:rPr>
          <w:rFonts w:ascii="Times New Roman" w:hAnsi="Times New Roman" w:cs="Times New Roman"/>
          <w:kern w:val="0"/>
          <w:szCs w:val="21"/>
        </w:rPr>
        <w:t xml:space="preserve">g the 90%, 95%, and 99% </w:t>
      </w:r>
      <w:r>
        <w:rPr>
          <w:rFonts w:ascii="Times New Roman" w:hAnsi="Times New Roman" w:cs="Times New Roman"/>
          <w:kern w:val="0"/>
          <w:szCs w:val="21"/>
        </w:rPr>
        <w:t>confidence level</w:t>
      </w:r>
      <w:r w:rsidRPr="00FA00D6">
        <w:rPr>
          <w:rFonts w:ascii="Times New Roman" w:hAnsi="Times New Roman" w:cs="Times New Roman"/>
          <w:kern w:val="0"/>
          <w:szCs w:val="21"/>
        </w:rPr>
        <w:t>, respectively.</w:t>
      </w:r>
    </w:p>
    <w:p w14:paraId="5FE4660C" w14:textId="77777777" w:rsidR="009F7255" w:rsidRDefault="009F7255" w:rsidP="009F725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582BC7D4" w14:textId="77777777" w:rsidR="009F7255" w:rsidRDefault="009F7255" w:rsidP="009F725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A37181">
        <w:rPr>
          <w:rFonts w:ascii="Times New Roman" w:hAnsi="Times New Roman" w:cs="Times New Roman"/>
          <w:noProof/>
          <w:kern w:val="0"/>
          <w:sz w:val="18"/>
          <w:szCs w:val="18"/>
        </w:rPr>
        <w:drawing>
          <wp:inline distT="0" distB="0" distL="0" distR="0" wp14:anchorId="06AC9FBC" wp14:editId="2778B582">
            <wp:extent cx="3878960" cy="3003789"/>
            <wp:effectExtent l="0" t="0" r="7620" b="6350"/>
            <wp:docPr id="455714950" name="图片 1" descr="图形用户界面, 图表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14950" name="图片 1" descr="图形用户界面, 图表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843" cy="300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DF851" w14:textId="77777777" w:rsidR="009F7255" w:rsidRDefault="009F7255" w:rsidP="009F7255">
      <w:pPr>
        <w:spacing w:line="288" w:lineRule="auto"/>
        <w:rPr>
          <w:szCs w:val="21"/>
        </w:rPr>
      </w:pPr>
      <w:r w:rsidRPr="00FA00D6">
        <w:rPr>
          <w:rFonts w:ascii="Times New Roman" w:hAnsi="Times New Roman" w:cs="Times New Roman" w:hint="eastAsia"/>
          <w:kern w:val="0"/>
          <w:szCs w:val="21"/>
        </w:rPr>
        <w:t>F</w:t>
      </w:r>
      <w:r w:rsidRPr="00FA00D6">
        <w:rPr>
          <w:rFonts w:ascii="Times New Roman" w:hAnsi="Times New Roman" w:cs="Times New Roman"/>
          <w:kern w:val="0"/>
          <w:szCs w:val="21"/>
        </w:rPr>
        <w:t>ig. S2.</w:t>
      </w:r>
      <w:r w:rsidRPr="00FA00D6">
        <w:rPr>
          <w:szCs w:val="21"/>
        </w:rPr>
        <w:t xml:space="preserve"> Composite different squared deviation (W/m</w:t>
      </w:r>
      <w:r w:rsidRPr="00FA00D6">
        <w:rPr>
          <w:szCs w:val="21"/>
          <w:vertAlign w:val="superscript"/>
        </w:rPr>
        <w:t>2</w:t>
      </w:r>
      <w:r w:rsidRPr="00FA00D6">
        <w:rPr>
          <w:szCs w:val="21"/>
        </w:rPr>
        <w:t xml:space="preserve">) </w:t>
      </w:r>
      <w:r>
        <w:rPr>
          <w:szCs w:val="21"/>
        </w:rPr>
        <w:t>of</w:t>
      </w:r>
      <w:r w:rsidRPr="00FA00D6">
        <w:rPr>
          <w:szCs w:val="21"/>
        </w:rPr>
        <w:t xml:space="preserve"> </w:t>
      </w:r>
      <w:r>
        <w:rPr>
          <w:szCs w:val="21"/>
        </w:rPr>
        <w:t>3</w:t>
      </w:r>
      <w:r w:rsidRPr="00FA00D6">
        <w:rPr>
          <w:szCs w:val="21"/>
        </w:rPr>
        <w:t>0-</w:t>
      </w:r>
      <w:r>
        <w:rPr>
          <w:szCs w:val="21"/>
        </w:rPr>
        <w:t>9</w:t>
      </w:r>
      <w:r w:rsidRPr="00FA00D6">
        <w:rPr>
          <w:szCs w:val="21"/>
        </w:rPr>
        <w:t>0-day OLR in May. (a) 1980-1993 minus 1994-2009, (b) 2010-2020 minus 1994-2009. Dots indicate the difference passed the 90% confidence level (Monte Carlo test).</w:t>
      </w:r>
    </w:p>
    <w:p w14:paraId="214C0F46" w14:textId="77777777" w:rsidR="009F7255" w:rsidRPr="00A37181" w:rsidRDefault="009F7255" w:rsidP="009F7255">
      <w:pPr>
        <w:spacing w:line="288" w:lineRule="auto"/>
        <w:rPr>
          <w:szCs w:val="21"/>
        </w:rPr>
      </w:pPr>
    </w:p>
    <w:p w14:paraId="7DF2ADB8" w14:textId="77777777" w:rsidR="009F7255" w:rsidRDefault="009F7255" w:rsidP="009F7255">
      <w:pPr>
        <w:spacing w:line="288" w:lineRule="auto"/>
        <w:rPr>
          <w:szCs w:val="21"/>
        </w:rPr>
      </w:pPr>
      <w:r>
        <w:rPr>
          <w:noProof/>
        </w:rPr>
        <w:lastRenderedPageBreak/>
        <w:drawing>
          <wp:inline distT="0" distB="0" distL="0" distR="0" wp14:anchorId="5CD7F745" wp14:editId="6435F100">
            <wp:extent cx="5274310" cy="2503805"/>
            <wp:effectExtent l="0" t="0" r="2540" b="0"/>
            <wp:docPr id="13547702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702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F5C02" w14:textId="77777777" w:rsidR="009F7255" w:rsidRPr="00FA00D6" w:rsidRDefault="009F7255" w:rsidP="009F7255">
      <w:pPr>
        <w:spacing w:line="288" w:lineRule="auto"/>
        <w:rPr>
          <w:szCs w:val="21"/>
        </w:rPr>
      </w:pPr>
      <w:r w:rsidRPr="00FA00D6">
        <w:rPr>
          <w:rFonts w:ascii="Times New Roman" w:hAnsi="Times New Roman" w:cs="Times New Roman" w:hint="eastAsia"/>
          <w:kern w:val="0"/>
          <w:szCs w:val="21"/>
        </w:rPr>
        <w:t>F</w:t>
      </w:r>
      <w:r w:rsidRPr="00FA00D6">
        <w:rPr>
          <w:rFonts w:ascii="Times New Roman" w:hAnsi="Times New Roman" w:cs="Times New Roman"/>
          <w:kern w:val="0"/>
          <w:szCs w:val="21"/>
        </w:rPr>
        <w:t>ig. S</w:t>
      </w:r>
      <w:r>
        <w:rPr>
          <w:rFonts w:ascii="Times New Roman" w:hAnsi="Times New Roman" w:cs="Times New Roman"/>
          <w:kern w:val="0"/>
          <w:szCs w:val="21"/>
        </w:rPr>
        <w:t>3</w:t>
      </w:r>
      <w:r w:rsidRPr="00FA00D6">
        <w:rPr>
          <w:rFonts w:ascii="Times New Roman" w:hAnsi="Times New Roman" w:cs="Times New Roman"/>
          <w:kern w:val="0"/>
          <w:szCs w:val="21"/>
        </w:rPr>
        <w:t>.</w:t>
      </w:r>
      <w:r>
        <w:rPr>
          <w:rFonts w:ascii="Times New Roman" w:hAnsi="Times New Roman" w:cs="Times New Roman"/>
          <w:kern w:val="0"/>
          <w:szCs w:val="21"/>
        </w:rPr>
        <w:t xml:space="preserve"> The t</w:t>
      </w:r>
      <w:r w:rsidRPr="00AD0CBA">
        <w:rPr>
          <w:rFonts w:ascii="Times New Roman" w:hAnsi="Times New Roman" w:cs="Times New Roman"/>
          <w:kern w:val="0"/>
          <w:szCs w:val="21"/>
        </w:rPr>
        <w:t xml:space="preserve">ropical </w:t>
      </w:r>
      <w:r>
        <w:rPr>
          <w:rFonts w:ascii="Times New Roman" w:hAnsi="Times New Roman" w:cs="Times New Roman"/>
          <w:kern w:val="0"/>
          <w:szCs w:val="21"/>
        </w:rPr>
        <w:t>c</w:t>
      </w:r>
      <w:r w:rsidRPr="00AD0CBA">
        <w:rPr>
          <w:rFonts w:ascii="Times New Roman" w:hAnsi="Times New Roman" w:cs="Times New Roman"/>
          <w:kern w:val="0"/>
          <w:szCs w:val="21"/>
        </w:rPr>
        <w:t xml:space="preserve">yclone </w:t>
      </w:r>
      <w:r>
        <w:rPr>
          <w:rFonts w:ascii="Times New Roman" w:hAnsi="Times New Roman" w:cs="Times New Roman"/>
          <w:kern w:val="0"/>
          <w:szCs w:val="21"/>
        </w:rPr>
        <w:t>t</w:t>
      </w:r>
      <w:r w:rsidRPr="00AD0CBA">
        <w:rPr>
          <w:rFonts w:ascii="Times New Roman" w:hAnsi="Times New Roman" w:cs="Times New Roman"/>
          <w:kern w:val="0"/>
          <w:szCs w:val="21"/>
        </w:rPr>
        <w:t>rack</w:t>
      </w:r>
      <w:r>
        <w:rPr>
          <w:rFonts w:ascii="Times New Roman" w:hAnsi="Times New Roman" w:cs="Times New Roman"/>
          <w:kern w:val="0"/>
          <w:szCs w:val="21"/>
        </w:rPr>
        <w:t>s</w:t>
      </w:r>
      <w:r w:rsidRPr="00AD0CBA">
        <w:rPr>
          <w:rFonts w:ascii="Times New Roman" w:hAnsi="Times New Roman" w:cs="Times New Roman"/>
          <w:kern w:val="0"/>
          <w:szCs w:val="21"/>
        </w:rPr>
        <w:t xml:space="preserve"> in the Indo-Northwest Pacific Region in May 2003</w:t>
      </w:r>
      <w:r>
        <w:rPr>
          <w:rFonts w:ascii="Times New Roman" w:hAnsi="Times New Roman" w:cs="Times New Roman"/>
          <w:kern w:val="0"/>
          <w:szCs w:val="21"/>
        </w:rPr>
        <w:t xml:space="preserve">. Data comes from </w:t>
      </w:r>
      <w:hyperlink r:id="rId7" w:history="1">
        <w:r>
          <w:rPr>
            <w:rStyle w:val="Hyperlink"/>
          </w:rPr>
          <w:t>Joint Typhoon Warning Center (JTWC) (navy.mil)</w:t>
        </w:r>
      </w:hyperlink>
      <w:r>
        <w:t>.</w:t>
      </w:r>
    </w:p>
    <w:p w14:paraId="1C79B5C9" w14:textId="77777777" w:rsidR="009F7255" w:rsidRPr="00FA00D6" w:rsidRDefault="009F7255" w:rsidP="009F725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06DBCC87" w14:textId="77777777" w:rsidR="000D4074" w:rsidRDefault="000D4074"/>
    <w:sectPr w:rsidR="000D4074" w:rsidSect="000E236C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0336488"/>
      <w:docPartObj>
        <w:docPartGallery w:val="Page Numbers (Bottom of Page)"/>
        <w:docPartUnique/>
      </w:docPartObj>
    </w:sdtPr>
    <w:sdtEndPr/>
    <w:sdtContent>
      <w:p w14:paraId="046B6C2A" w14:textId="77777777" w:rsidR="00995E13" w:rsidRDefault="009F725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8212E99" w14:textId="77777777" w:rsidR="00995E13" w:rsidRDefault="009F725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55"/>
    <w:rsid w:val="000D4074"/>
    <w:rsid w:val="001E4B73"/>
    <w:rsid w:val="005314AC"/>
    <w:rsid w:val="009B53F0"/>
    <w:rsid w:val="009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3DF67"/>
  <w15:chartTrackingRefBased/>
  <w15:docId w15:val="{97E512C8-9922-44A3-9FFD-11EDC89B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25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F72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7255"/>
    <w:rPr>
      <w:rFonts w:eastAsiaTheme="minorEastAsia"/>
      <w:kern w:val="2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9F7255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F7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metoc.navy.mil/jtwc/jtwc.html?best-track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584</Characters>
  <Application>Microsoft Office Word</Application>
  <DocSecurity>0</DocSecurity>
  <Lines>4</Lines>
  <Paragraphs>1</Paragraphs>
  <ScaleCrop>false</ScaleCrop>
  <Company>Springer Nature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2023-07-14T03:00:00Z</dcterms:created>
  <dcterms:modified xsi:type="dcterms:W3CDTF">2023-07-14T03:00:00Z</dcterms:modified>
</cp:coreProperties>
</file>