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4F9096D8" w:rsidR="00B16F99" w:rsidRDefault="00B16F99" w:rsidP="00B16F99">
      <w:pPr>
        <w:rPr>
          <w:rFonts w:ascii="Arial" w:hAnsi="Arial" w:cs="Arial"/>
          <w:b/>
          <w:sz w:val="28"/>
          <w:szCs w:val="28"/>
        </w:rPr>
      </w:pPr>
      <w:r w:rsidRPr="00DC623A">
        <w:rPr>
          <w:rFonts w:ascii="Arial" w:hAnsi="Arial" w:cs="Arial"/>
          <w:b/>
          <w:sz w:val="28"/>
          <w:szCs w:val="28"/>
        </w:rPr>
        <w:t>Supp</w:t>
      </w:r>
      <w:r w:rsidR="00B73A1C">
        <w:rPr>
          <w:rFonts w:ascii="Arial" w:hAnsi="Arial" w:cs="Arial"/>
          <w:b/>
          <w:sz w:val="28"/>
          <w:szCs w:val="28"/>
        </w:rPr>
        <w:t>orting</w:t>
      </w:r>
      <w:r w:rsidRPr="00DC623A">
        <w:rPr>
          <w:rFonts w:ascii="Arial" w:hAnsi="Arial" w:cs="Arial"/>
          <w:b/>
          <w:sz w:val="28"/>
          <w:szCs w:val="28"/>
        </w:rPr>
        <w:t xml:space="preserve"> Information for</w:t>
      </w:r>
    </w:p>
    <w:p w14:paraId="78F7CCA2" w14:textId="77777777" w:rsidR="00B8261A" w:rsidRPr="00DC623A" w:rsidRDefault="00B8261A" w:rsidP="00B16F99">
      <w:pPr>
        <w:rPr>
          <w:rFonts w:ascii="Arial" w:hAnsi="Arial" w:cs="Arial"/>
          <w:b/>
          <w:sz w:val="28"/>
          <w:szCs w:val="28"/>
        </w:rPr>
      </w:pPr>
    </w:p>
    <w:p w14:paraId="1E321A17" w14:textId="13E66802" w:rsidR="00B8261A" w:rsidRDefault="00B8261A" w:rsidP="00B8261A">
      <w:pPr>
        <w:rPr>
          <w:rFonts w:ascii="Arial" w:hAnsi="Arial" w:cs="Arial"/>
          <w:sz w:val="28"/>
          <w:szCs w:val="28"/>
        </w:rPr>
      </w:pPr>
      <w:bookmarkStart w:id="0" w:name="_Hlk132359550"/>
      <w:bookmarkStart w:id="1" w:name="_Hlk132380835"/>
      <w:r w:rsidRPr="00045B01">
        <w:rPr>
          <w:rFonts w:ascii="Arial" w:hAnsi="Arial" w:cs="Arial"/>
          <w:sz w:val="28"/>
          <w:szCs w:val="28"/>
        </w:rPr>
        <w:t>New perspectives on Australian hydroclimate and population dynamics during Last Glacial Maximum and terminal Pleistocene</w:t>
      </w:r>
    </w:p>
    <w:p w14:paraId="0930BDDE" w14:textId="77777777" w:rsidR="00B8261A" w:rsidRPr="00045B01" w:rsidRDefault="00B8261A" w:rsidP="00B8261A">
      <w:pPr>
        <w:rPr>
          <w:rFonts w:ascii="Arial" w:hAnsi="Arial" w:cs="Arial"/>
          <w:sz w:val="28"/>
          <w:szCs w:val="28"/>
        </w:rPr>
      </w:pPr>
    </w:p>
    <w:bookmarkEnd w:id="0"/>
    <w:bookmarkEnd w:id="1"/>
    <w:p w14:paraId="031F9536" w14:textId="77777777" w:rsidR="00B8261A" w:rsidRPr="000019F4" w:rsidRDefault="00B8261A" w:rsidP="00B8261A">
      <w:pPr>
        <w:rPr>
          <w:rFonts w:ascii="Arial" w:hAnsi="Arial" w:cs="Arial"/>
          <w:sz w:val="20"/>
        </w:rPr>
      </w:pPr>
      <w:r w:rsidRPr="000019F4">
        <w:rPr>
          <w:rFonts w:ascii="Arial" w:hAnsi="Arial" w:cs="Arial"/>
          <w:sz w:val="20"/>
        </w:rPr>
        <w:t>Haidee Cadd</w:t>
      </w:r>
      <w:r w:rsidRPr="000019F4">
        <w:rPr>
          <w:rFonts w:ascii="Arial" w:hAnsi="Arial" w:cs="Arial"/>
          <w:sz w:val="20"/>
          <w:vertAlign w:val="superscript"/>
        </w:rPr>
        <w:t>1,2,3</w:t>
      </w:r>
      <w:r w:rsidRPr="000019F4">
        <w:rPr>
          <w:rFonts w:ascii="Arial" w:hAnsi="Arial" w:cs="Arial"/>
          <w:sz w:val="20"/>
        </w:rPr>
        <w:t>*, Alan N. Williams</w:t>
      </w:r>
      <w:r w:rsidRPr="000019F4">
        <w:rPr>
          <w:rFonts w:ascii="Arial" w:hAnsi="Arial" w:cs="Arial"/>
          <w:sz w:val="20"/>
          <w:vertAlign w:val="superscript"/>
        </w:rPr>
        <w:t>4,5</w:t>
      </w:r>
      <w:r w:rsidRPr="000019F4">
        <w:rPr>
          <w:rFonts w:ascii="Arial" w:hAnsi="Arial" w:cs="Arial"/>
          <w:sz w:val="20"/>
        </w:rPr>
        <w:t>, Wanchese M. Saktura</w:t>
      </w:r>
      <w:r w:rsidRPr="000019F4">
        <w:rPr>
          <w:rFonts w:ascii="Arial" w:hAnsi="Arial" w:cs="Arial"/>
          <w:sz w:val="20"/>
          <w:vertAlign w:val="superscript"/>
        </w:rPr>
        <w:t>1,3</w:t>
      </w:r>
      <w:r w:rsidRPr="000019F4">
        <w:rPr>
          <w:rFonts w:ascii="Arial" w:hAnsi="Arial" w:cs="Arial"/>
          <w:sz w:val="20"/>
        </w:rPr>
        <w:t>, Tim J. Cohen</w:t>
      </w:r>
      <w:r w:rsidRPr="000019F4">
        <w:rPr>
          <w:rFonts w:ascii="Arial" w:hAnsi="Arial" w:cs="Arial"/>
          <w:sz w:val="20"/>
          <w:vertAlign w:val="superscript"/>
        </w:rPr>
        <w:t>1,3</w:t>
      </w:r>
      <w:r w:rsidRPr="000019F4">
        <w:rPr>
          <w:rFonts w:ascii="Arial" w:hAnsi="Arial" w:cs="Arial"/>
          <w:sz w:val="20"/>
        </w:rPr>
        <w:t>, Scott D. Mooney</w:t>
      </w:r>
      <w:r w:rsidRPr="000019F4">
        <w:rPr>
          <w:rFonts w:ascii="Arial" w:hAnsi="Arial" w:cs="Arial"/>
          <w:sz w:val="20"/>
          <w:vertAlign w:val="superscript"/>
        </w:rPr>
        <w:t>6</w:t>
      </w:r>
      <w:r w:rsidRPr="000019F4">
        <w:rPr>
          <w:rFonts w:ascii="Arial" w:hAnsi="Arial" w:cs="Arial"/>
          <w:sz w:val="20"/>
        </w:rPr>
        <w:t>, Chengfei He</w:t>
      </w:r>
      <w:r w:rsidRPr="000019F4">
        <w:rPr>
          <w:rFonts w:ascii="Arial" w:hAnsi="Arial" w:cs="Arial"/>
          <w:sz w:val="20"/>
          <w:vertAlign w:val="superscript"/>
        </w:rPr>
        <w:t>7</w:t>
      </w:r>
      <w:r w:rsidRPr="000019F4">
        <w:rPr>
          <w:rFonts w:ascii="Arial" w:hAnsi="Arial" w:cs="Arial"/>
          <w:sz w:val="20"/>
        </w:rPr>
        <w:t>, Bette Otto</w:t>
      </w:r>
      <w:r w:rsidRPr="000019F4">
        <w:rPr>
          <w:rFonts w:ascii="Cambria Math" w:hAnsi="Cambria Math" w:cs="Cambria Math"/>
          <w:sz w:val="20"/>
        </w:rPr>
        <w:t>‐</w:t>
      </w:r>
      <w:r w:rsidRPr="000019F4">
        <w:rPr>
          <w:rFonts w:ascii="Arial" w:hAnsi="Arial" w:cs="Arial"/>
          <w:sz w:val="20"/>
        </w:rPr>
        <w:t>Bliesner</w:t>
      </w:r>
      <w:r w:rsidRPr="000019F4">
        <w:rPr>
          <w:rFonts w:ascii="Arial" w:hAnsi="Arial" w:cs="Arial"/>
          <w:sz w:val="20"/>
          <w:vertAlign w:val="superscript"/>
        </w:rPr>
        <w:t>8</w:t>
      </w:r>
      <w:r w:rsidRPr="000019F4">
        <w:rPr>
          <w:rFonts w:ascii="Arial" w:hAnsi="Arial" w:cs="Arial"/>
          <w:sz w:val="20"/>
        </w:rPr>
        <w:t>, Chris S.M. Turney</w:t>
      </w:r>
      <w:r w:rsidRPr="000019F4">
        <w:rPr>
          <w:rFonts w:ascii="Arial" w:hAnsi="Arial" w:cs="Arial"/>
          <w:sz w:val="20"/>
          <w:vertAlign w:val="superscript"/>
        </w:rPr>
        <w:t>2,9</w:t>
      </w:r>
    </w:p>
    <w:p w14:paraId="54CCCAE5" w14:textId="77777777" w:rsidR="00B8261A" w:rsidRDefault="00B8261A" w:rsidP="007B5946">
      <w:pPr>
        <w:rPr>
          <w:rFonts w:ascii="Arial" w:hAnsi="Arial" w:cs="Arial"/>
          <w:sz w:val="20"/>
        </w:rPr>
      </w:pPr>
    </w:p>
    <w:p w14:paraId="48676783" w14:textId="566AA871" w:rsidR="004779CB" w:rsidRPr="00DC623A" w:rsidRDefault="00943C3C" w:rsidP="007B5946">
      <w:pPr>
        <w:rPr>
          <w:rFonts w:ascii="Arial" w:hAnsi="Arial" w:cs="Arial"/>
          <w:sz w:val="20"/>
        </w:rPr>
      </w:pPr>
      <w:r w:rsidRPr="00DC623A">
        <w:rPr>
          <w:rFonts w:ascii="Arial" w:hAnsi="Arial" w:cs="Arial"/>
          <w:sz w:val="20"/>
        </w:rPr>
        <w:t>Email:</w:t>
      </w:r>
      <w:r w:rsidR="004779CB" w:rsidRPr="00DC623A">
        <w:rPr>
          <w:rFonts w:ascii="Arial" w:hAnsi="Arial" w:cs="Arial"/>
          <w:sz w:val="20"/>
        </w:rPr>
        <w:t xml:space="preserve"> </w:t>
      </w:r>
      <w:hyperlink r:id="rId8" w:history="1">
        <w:r w:rsidR="00730E47" w:rsidRPr="005F243B">
          <w:rPr>
            <w:rStyle w:val="Hyperlink"/>
            <w:rFonts w:ascii="Arial" w:hAnsi="Arial" w:cs="Arial"/>
            <w:sz w:val="20"/>
          </w:rPr>
          <w:t>haidee@uow.edu.au</w:t>
        </w:r>
      </w:hyperlink>
    </w:p>
    <w:p w14:paraId="41FAE993" w14:textId="77777777" w:rsidR="002C030F" w:rsidRPr="00DC623A" w:rsidRDefault="002C030F">
      <w:pPr>
        <w:rPr>
          <w:rFonts w:ascii="Arial" w:hAnsi="Arial" w:cs="Arial"/>
          <w:sz w:val="20"/>
        </w:rPr>
      </w:pPr>
    </w:p>
    <w:p w14:paraId="1F410ECE" w14:textId="53696373" w:rsidR="00015F74" w:rsidRPr="00B8261A" w:rsidRDefault="00B73A1C" w:rsidP="00B8261A">
      <w:pPr>
        <w:rPr>
          <w:rFonts w:ascii="Arial" w:hAnsi="Arial" w:cs="Arial"/>
          <w:b/>
          <w:bCs/>
          <w:sz w:val="20"/>
        </w:rPr>
      </w:pPr>
      <w:bookmarkStart w:id="2" w:name="Tables"/>
      <w:bookmarkStart w:id="3" w:name="MaterialsMethods"/>
      <w:bookmarkEnd w:id="2"/>
      <w:bookmarkEnd w:id="3"/>
      <w:r w:rsidRPr="00B8261A">
        <w:rPr>
          <w:rFonts w:ascii="Arial" w:hAnsi="Arial" w:cs="Arial"/>
          <w:b/>
          <w:bCs/>
          <w:sz w:val="20"/>
        </w:rPr>
        <w:t>Supporting</w:t>
      </w:r>
      <w:r w:rsidR="00015F74" w:rsidRPr="00B8261A">
        <w:rPr>
          <w:rFonts w:ascii="Arial" w:hAnsi="Arial" w:cs="Arial"/>
          <w:b/>
          <w:bCs/>
          <w:sz w:val="20"/>
        </w:rPr>
        <w:t xml:space="preserve"> </w:t>
      </w:r>
      <w:r w:rsidR="001C0975" w:rsidRPr="00B8261A">
        <w:rPr>
          <w:rFonts w:ascii="Arial" w:hAnsi="Arial" w:cs="Arial"/>
          <w:b/>
          <w:bCs/>
          <w:sz w:val="20"/>
        </w:rPr>
        <w:t>Information Text</w:t>
      </w:r>
    </w:p>
    <w:p w14:paraId="1DE1B73A" w14:textId="0D190521" w:rsidR="00355362" w:rsidRPr="00730E47" w:rsidRDefault="007402FC" w:rsidP="00820484">
      <w:pPr>
        <w:pStyle w:val="SMSubheading"/>
        <w:rPr>
          <w:rFonts w:ascii="Arial" w:hAnsi="Arial" w:cs="Arial"/>
          <w:sz w:val="20"/>
          <w:u w:val="none"/>
        </w:rPr>
      </w:pPr>
      <w:r w:rsidRPr="00730E47">
        <w:rPr>
          <w:rFonts w:ascii="Arial" w:hAnsi="Arial" w:cs="Arial"/>
          <w:sz w:val="20"/>
          <w:u w:val="none"/>
        </w:rPr>
        <w:t xml:space="preserve"> </w:t>
      </w:r>
    </w:p>
    <w:p w14:paraId="43BCC54B" w14:textId="77777777" w:rsidR="00730E47" w:rsidRPr="00730E47" w:rsidRDefault="00730E47" w:rsidP="00730E47">
      <w:pPr>
        <w:pStyle w:val="Paperheadings"/>
        <w:rPr>
          <w:rFonts w:ascii="Arial" w:hAnsi="Arial"/>
          <w:sz w:val="20"/>
          <w:szCs w:val="20"/>
        </w:rPr>
      </w:pPr>
      <w:r w:rsidRPr="00730E47">
        <w:rPr>
          <w:rFonts w:ascii="Arial" w:hAnsi="Arial"/>
          <w:sz w:val="20"/>
          <w:szCs w:val="20"/>
        </w:rPr>
        <w:t>Methods</w:t>
      </w:r>
    </w:p>
    <w:p w14:paraId="1FAF350C" w14:textId="77777777" w:rsidR="00730E47" w:rsidRPr="00730E47" w:rsidRDefault="00730E47" w:rsidP="00730E47">
      <w:pPr>
        <w:pStyle w:val="Subtitle"/>
        <w:jc w:val="left"/>
        <w:rPr>
          <w:rFonts w:ascii="Arial" w:hAnsi="Arial" w:cs="Arial"/>
          <w:b/>
          <w:bCs/>
          <w:sz w:val="20"/>
          <w:szCs w:val="20"/>
        </w:rPr>
      </w:pPr>
      <w:r w:rsidRPr="00730E47">
        <w:rPr>
          <w:rFonts w:ascii="Arial" w:hAnsi="Arial" w:cs="Arial"/>
          <w:b/>
          <w:bCs/>
          <w:sz w:val="20"/>
          <w:szCs w:val="20"/>
        </w:rPr>
        <w:t>iTRACE</w:t>
      </w:r>
    </w:p>
    <w:p w14:paraId="5EA5E4C3" w14:textId="31FD5796"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Climate models provide an alternate method for understanding regional and continental climate changes through time </w:t>
      </w:r>
      <w:r w:rsidRPr="00730E47">
        <w:rPr>
          <w:rFonts w:ascii="Arial" w:hAnsi="Arial" w:cs="Arial"/>
          <w:sz w:val="20"/>
          <w:szCs w:val="20"/>
          <w:lang w:val="en-US"/>
        </w:rPr>
        <w:fldChar w:fldCharType="begin" w:fldLock="1"/>
      </w:r>
      <w:r w:rsidRPr="00730E47">
        <w:rPr>
          <w:rFonts w:ascii="Arial" w:hAnsi="Arial" w:cs="Arial"/>
          <w:sz w:val="20"/>
          <w:szCs w:val="20"/>
          <w:lang w:val="en-US"/>
        </w:rPr>
        <w:instrText>ADDIN CSL_CITATION {"citationItems":[{"id":"ITEM-1","itemData":{"DOI":"10.1126/science.aay3701","ISSN":"0036-8075","PMID":"33154110","abstract":"A major cause of uncertainties in climate projections is our imprecise knowledge of how much warming should occur as a result of a given increase in the amount of carbon dioxide in the atmosphere. Paleoclimate records have the potential to help us sharpen that understanding because they record such a wide variety of environmental conditions. Tierney et al. review the recent advances in data collection, statistics, and modeling that might help us better understand how rising levels of atmospheric carbon dioxide will affect future climate.","author":[{"dropping-particle":"","family":"Tierney","given":"Jessica E.","non-dropping-particle":"","parse-names":false,"suffix":""},{"dropping-particle":"","family":"Poulsen","given":"Christopher J.","non-dropping-particle":"","parse-names":false,"suffix":""},{"dropping-particle":"","family":"Montañez","given":"Isabel P.","non-dropping-particle":"","parse-names":false,"suffix":""},{"dropping-particle":"","family":"Bhattacharya","given":"Tripti","non-dropping-particle":"","parse-names":false,"suffix":""},{"dropping-particle":"","family":"Feng","given":"Ran","non-dropping-particle":"","parse-names":false,"suffix":""},{"dropping-particle":"","family":"Ford","given":"Heather L.","non-dropping-particle":"","parse-names":false,"suffix":""},{"dropping-particle":"","family":"Hönisch","given":"Bärbel","non-dropping-particle":"","parse-names":false,"suffix":""},{"dropping-particle":"","family":"Inglis","given":"Gordon N.","non-dropping-particle":"","parse-names":false,"suffix":""},{"dropping-particle":"V.","family":"Petersen","given":"Sierra","non-dropping-particle":"","parse-names":false,"suffix":""},{"dropping-particle":"","family":"Sagoo","given":"Navjit","non-dropping-particle":"","parse-names":false,"suffix":""},{"dropping-particle":"","family":"Tabor","given":"Clay R.","non-dropping-particle":"","parse-names":false,"suffix":""},{"dropping-particle":"","family":"Thirumalai","given":"Kaustubh","non-dropping-particle":"","parse-names":false,"suffix":""},{"dropping-particle":"","family":"Zhu","given":"Jiang","non-dropping-particle":"","parse-names":false,"suffix":""},{"dropping-particle":"","family":"Burls","given":"Natalie J.","non-dropping-particle":"","parse-names":false,"suffix":""},{"dropping-particle":"","family":"Foster","given":"Gavin L.","non-dropping-particle":"","parse-names":false,"suffix":""},{"dropping-particle":"","family":"Goddéris","given":"Yves","non-dropping-particle":"","parse-names":false,"suffix":""},{"dropping-particle":"","family":"Huber","given":"Brian T.","non-dropping-particle":"","parse-names":false,"suffix":""},{"dropping-particle":"","family":"Ivany","given":"Linda C.","non-dropping-particle":"","parse-names":false,"suffix":""},{"dropping-particle":"","family":"Kirtland Turner","given":"Sandra","non-dropping-particle":"","parse-names":false,"suffix":""},{"dropping-particle":"","family":"Lunt","given":"Daniel J.","non-dropping-particle":"","parse-names":false,"suffix":""},{"dropping-particle":"","family":"McElwain","given":"Jennifer C.","non-dropping-particle":"","parse-names":false,"suffix":""},{"dropping-particle":"","family":"Mills","given":"Benjamin J. W.","non-dropping-particle":"","parse-names":false,"suffix":""},{"dropping-particle":"","family":"Otto-Bliesner","given":"Bette L.","non-dropping-particle":"","parse-names":false,"suffix":""},{"dropping-particle":"","family":"Ridgwell","given":"Andy","non-dropping-particle":"","parse-names":false,"suffix":""},{"dropping-particle":"","family":"Zhang","given":"Yi Ge","non-dropping-particle":"","parse-names":false,"suffix":""}],"container-title":"Science","id":"ITEM-1","issue":"6517","issued":{"date-parts":[["2020","11","6"]]},"title":"Past climates inform our future","type":"article-journal","volume":"370"},"uris":["http://www.mendeley.com/documents/?uuid=d5cde885-8480-4083-b996-efeafae22d1a"]}],"mendeley":{"formattedCitation":"(1)","plainTextFormattedCitation":"(1)","previouslyFormattedCitation":"(1)"},"properties":{"noteIndex":0},"schema":"https://github.com/citation-style-language/schema/raw/master/csl-citation.json"}</w:instrText>
      </w:r>
      <w:r w:rsidRPr="00730E47">
        <w:rPr>
          <w:rFonts w:ascii="Arial" w:hAnsi="Arial" w:cs="Arial"/>
          <w:sz w:val="20"/>
          <w:szCs w:val="20"/>
          <w:lang w:val="en-US"/>
        </w:rPr>
        <w:fldChar w:fldCharType="separate"/>
      </w:r>
      <w:r w:rsidRPr="00730E47">
        <w:rPr>
          <w:rFonts w:ascii="Arial" w:hAnsi="Arial" w:cs="Arial"/>
          <w:noProof/>
          <w:sz w:val="20"/>
          <w:szCs w:val="20"/>
          <w:lang w:val="en-US"/>
        </w:rPr>
        <w:t>(1)</w:t>
      </w:r>
      <w:r w:rsidRPr="00730E47">
        <w:rPr>
          <w:rFonts w:ascii="Arial" w:hAnsi="Arial" w:cs="Arial"/>
          <w:sz w:val="20"/>
          <w:szCs w:val="20"/>
          <w:lang w:val="en-US"/>
        </w:rPr>
        <w:fldChar w:fldCharType="end"/>
      </w:r>
      <w:r w:rsidRPr="00730E47">
        <w:rPr>
          <w:rFonts w:ascii="Arial" w:hAnsi="Arial" w:cs="Arial"/>
          <w:sz w:val="20"/>
          <w:szCs w:val="20"/>
          <w:lang w:val="en-US"/>
        </w:rPr>
        <w:t>. Climate models can be particularly informative in regions with limited proxy records of climate like Australia. The iTRACE model utilizes the Community Earth System Model (CESM) version 1.3. and the iTRACE-21 model used here incorporates fully coupled water isotopes (δ</w:t>
      </w:r>
      <w:r w:rsidRPr="00730E47">
        <w:rPr>
          <w:rFonts w:ascii="Arial" w:hAnsi="Arial" w:cs="Arial"/>
          <w:sz w:val="20"/>
          <w:szCs w:val="20"/>
          <w:vertAlign w:val="superscript"/>
          <w:lang w:val="en-US"/>
        </w:rPr>
        <w:t>18</w:t>
      </w:r>
      <w:r w:rsidRPr="00730E47">
        <w:rPr>
          <w:rFonts w:ascii="Arial" w:hAnsi="Arial" w:cs="Arial"/>
          <w:sz w:val="20"/>
          <w:szCs w:val="20"/>
          <w:lang w:val="en-US"/>
        </w:rPr>
        <w:t xml:space="preserve">O and δD) modules (iCESM) in the atmosphere, ocean, land, sea ice and river run-off components. This allows model-data comparisons with isotope proxy palaeoclimate archives </w:t>
      </w:r>
      <w:r w:rsidRPr="00730E47">
        <w:rPr>
          <w:rFonts w:ascii="Arial" w:hAnsi="Arial" w:cs="Arial"/>
          <w:sz w:val="20"/>
          <w:szCs w:val="20"/>
          <w:lang w:val="en-US"/>
        </w:rPr>
        <w:fldChar w:fldCharType="begin" w:fldLock="1"/>
      </w:r>
      <w:r w:rsidRPr="00730E47">
        <w:rPr>
          <w:rFonts w:ascii="Arial" w:hAnsi="Arial" w:cs="Arial"/>
          <w:sz w:val="20"/>
          <w:szCs w:val="20"/>
          <w:lang w:val="en-US"/>
        </w:rPr>
        <w:instrText>ADDIN CSL_CITATION {"citationItems":[{"id":"ITEM-1","itemData":{"DOI":"10.1038/s41467-021-26106-0","ISSN":"2041-1723","PMID":"34620854","abstract":"The deglacial hydroclimate in South China remains a long-standing topic of debate due to the lack of reliable moisture proxies and inconsistent model simulations. A recent hydroclimate proxy suggests that South China became wet in cold stadials during the last deglaciation, with the intensification proposed to be contributed mostly by the East Asian summer monsoon (EASM). Here, based on a deglacial simulation in a state-of-the-art climate model that well reproduces the evolution of EASM, winter monsoon (EAWM) and the associated water isotopes in East Asia, we propose that the intensified hydroclimate in South China is also contributed heavily by the rainfall in autumn, during the transition between EASM and EAWM. The excessive rainfall in autumn results from the convergence between anomalous northerly wind due to amplified land-sea thermal contrast and anomalous southerly wind associated with the anticyclone over Western North Pacific, both of which are, in turn, forced by the slowdown of the Atlantic thermohaline circulation. Regardless the rainfall change, however, the modeled δ 18 O p remains largely unchanged in autumn. Our results provide new insights to East Asia monsoon associated with climate change in the North Atlantic.","author":[{"dropping-particle":"","family":"He","given":"Chengfei","non-dropping-particle":"","parse-names":false,"suffix":""},{"dropping-particle":"","family":"Liu","given":"Zhengyu","non-dropping-particle":"","parse-names":false,"suffix":""},{"dropping-particle":"","family":"Otto-Bliesner","given":"Bette L.","non-dropping-particle":"","parse-names":false,"suffix":""},{"dropping-particle":"","family":"Brady","given":"Esther C.","non-dropping-particle":"","parse-names":false,"suffix":""},{"dropping-particle":"","family":"Zhu","given":"Chenyu","non-dropping-particle":"","parse-names":false,"suffix":""},{"dropping-particle":"","family":"Tomas","given":"Robert","non-dropping-particle":"","parse-names":false,"suffix":""},{"dropping-particle":"","family":"Gu","given":"Sifan","non-dropping-particle":"","parse-names":false,"suffix":""},{"dropping-particle":"","family":"Han","given":"Jing","non-dropping-particle":"","parse-names":false,"suffix":""},{"dropping-particle":"","family":"Jin","given":"Yishuai","non-dropping-particle":"","parse-names":false,"suffix":""}],"container-title":"Nature Communications","id":"ITEM-1","issue":"1","issued":{"date-parts":[["2021","12","7"]]},"page":"5875","publisher":"Springer US","title":"Deglacial variability of South China hydroclimate heavily contributed by autumn rainfall","type":"article-journal","volume":"12"},"uris":["http://www.mendeley.com/documents/?uuid=a105dada-10ba-492a-b216-485aaabe87f2"]}],"mendeley":{"formattedCitation":"(2)","plainTextFormattedCitation":"(2)","previouslyFormattedCitation":"(2)"},"properties":{"noteIndex":0},"schema":"https://github.com/citation-style-language/schema/raw/master/csl-citation.json"}</w:instrText>
      </w:r>
      <w:r w:rsidRPr="00730E47">
        <w:rPr>
          <w:rFonts w:ascii="Arial" w:hAnsi="Arial" w:cs="Arial"/>
          <w:sz w:val="20"/>
          <w:szCs w:val="20"/>
          <w:lang w:val="en-US"/>
        </w:rPr>
        <w:fldChar w:fldCharType="separate"/>
      </w:r>
      <w:r w:rsidRPr="00730E47">
        <w:rPr>
          <w:rFonts w:ascii="Arial" w:hAnsi="Arial" w:cs="Arial"/>
          <w:noProof/>
          <w:sz w:val="20"/>
          <w:szCs w:val="20"/>
          <w:lang w:val="en-US"/>
        </w:rPr>
        <w:t>(2)</w:t>
      </w:r>
      <w:r w:rsidRPr="00730E47">
        <w:rPr>
          <w:rFonts w:ascii="Arial" w:hAnsi="Arial" w:cs="Arial"/>
          <w:sz w:val="20"/>
          <w:szCs w:val="20"/>
          <w:lang w:val="en-US"/>
        </w:rPr>
        <w:fldChar w:fldCharType="end"/>
      </w:r>
      <w:r w:rsidRPr="00730E47">
        <w:rPr>
          <w:rFonts w:ascii="Arial" w:hAnsi="Arial" w:cs="Arial"/>
          <w:sz w:val="20"/>
          <w:szCs w:val="20"/>
          <w:lang w:val="en-US"/>
        </w:rPr>
        <w:t xml:space="preserve">. This isotope-enabled Transient Climate Experiment simulates global, long-term millennial scale climate evolution across the terminal Last Glacial Maximum (LGM) and post glacial period. </w:t>
      </w:r>
    </w:p>
    <w:p w14:paraId="1D45FAFD" w14:textId="77777777"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The iTRACE simulations are designed with a factorized forcing scheme that enables individual forcing effects to be isolated and sequentially added to generate sensitive experiments. The baseline simulation incorporates changing ice sheets and ocean bathymetry (ICE), orbital (ORB) and greenhouse gas (GHG) forcings (ICE + ORB and ICE + ORB + GHG) and then incorporates meltwater forcing (MWF) (ICE + ORB + GHG + MWF). Full forcing (ICE + ORB + GHG+MWF) iTRACE model simulations are presented in this study.</w:t>
      </w:r>
      <w:bookmarkStart w:id="4" w:name="_Hlk115949562"/>
    </w:p>
    <w:bookmarkEnd w:id="4"/>
    <w:p w14:paraId="20BA6FD6" w14:textId="25670571"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We examined the iTRACE model variables for precipitation and temperature using the transient simulations from 21 – 11 kiloanni (ka). </w:t>
      </w:r>
      <w:bookmarkStart w:id="5" w:name="_Hlk125036067"/>
      <w:r w:rsidRPr="00730E47">
        <w:rPr>
          <w:rFonts w:ascii="Arial" w:hAnsi="Arial" w:cs="Arial"/>
          <w:sz w:val="20"/>
          <w:szCs w:val="20"/>
          <w:lang w:val="en-US"/>
        </w:rPr>
        <w:t>Precipitation (m/s) combines the large-scale (stable) precipitation rate (including both liquid and ice; m/s) and convective precipitation rate (including both liquid and ice; m/s). The temperature output represents the radiative surface temperature (TS; degree</w:t>
      </w:r>
      <w:r w:rsidRPr="00730E47">
        <w:rPr>
          <w:rFonts w:ascii="Arial" w:hAnsi="Arial" w:cs="Arial"/>
          <w:sz w:val="20"/>
          <w:szCs w:val="20"/>
          <w:vertAlign w:val="superscript"/>
          <w:lang w:val="en-US"/>
        </w:rPr>
        <w:t xml:space="preserve"> </w:t>
      </w:r>
      <w:r w:rsidRPr="00730E47">
        <w:rPr>
          <w:rFonts w:ascii="Arial" w:hAnsi="Arial" w:cs="Arial"/>
          <w:sz w:val="20"/>
          <w:szCs w:val="20"/>
          <w:lang w:val="en-US"/>
        </w:rPr>
        <w:t xml:space="preserve">Kelvin; K). Simulations are presented from time slices at 20, 18, 16, 14, 13.5, 12.5 and 11 ka. </w:t>
      </w:r>
      <w:bookmarkEnd w:id="5"/>
      <w:r w:rsidRPr="00730E47">
        <w:rPr>
          <w:rFonts w:ascii="Arial" w:hAnsi="Arial" w:cs="Arial"/>
          <w:sz w:val="20"/>
          <w:szCs w:val="20"/>
          <w:lang w:val="en-US"/>
        </w:rPr>
        <w:t>The 20 ka simulation represents the initial 1000 year simulation from 20 – 19 ka. The 18, 16, 14, 13.5 and 12.5 ka simulations each represent a 200 year average, ± 100 years from each age, while the 11 ka simulation represents a 300 year period from 11.3 – 11 ka.</w:t>
      </w:r>
      <w:r w:rsidR="00B8261A">
        <w:rPr>
          <w:rFonts w:ascii="Arial" w:hAnsi="Arial" w:cs="Arial"/>
          <w:sz w:val="20"/>
          <w:szCs w:val="20"/>
          <w:lang w:val="en-US"/>
        </w:rPr>
        <w:t xml:space="preserve"> </w:t>
      </w:r>
      <w:r w:rsidRPr="00730E47">
        <w:rPr>
          <w:rFonts w:ascii="Arial" w:hAnsi="Arial" w:cs="Arial"/>
          <w:sz w:val="20"/>
          <w:szCs w:val="20"/>
          <w:lang w:val="en-US"/>
        </w:rPr>
        <w:t>Precipitation and temperature outputs are presented both annually (ANN) and as seasonal means (Austral Summer, DJF; Autumn, MAM; Winter, JJA; Spring, SON).</w:t>
      </w:r>
    </w:p>
    <w:p w14:paraId="2B6139DD" w14:textId="77777777"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Decadal averages of precipitation (precp; m/s) and radiative surface temperature (TS; Kelvin; K) were extracted from the fully coupled, non-accelerated iTRACE paleoclimate simulation. The </w:t>
      </w:r>
      <w:r w:rsidRPr="00730E47">
        <w:rPr>
          <w:rFonts w:ascii="Arial" w:hAnsi="Arial" w:cs="Arial"/>
          <w:sz w:val="20"/>
          <w:szCs w:val="20"/>
          <w:lang w:val="en-US"/>
        </w:rPr>
        <w:lastRenderedPageBreak/>
        <w:t xml:space="preserve">simulated precipitation and temperature estimates range from 20,000 to 11,000 years BP at a resolution of 1.9° in latitude and 2.5° in longitude and were converted to precipitation (mm/day) and temperature (degrees Celsius; </w:t>
      </w:r>
      <w:r w:rsidRPr="00730E47">
        <w:rPr>
          <w:rFonts w:ascii="Arial" w:hAnsi="Arial" w:cs="Arial"/>
          <w:sz w:val="20"/>
          <w:szCs w:val="20"/>
          <w:vertAlign w:val="superscript"/>
          <w:lang w:val="en-US"/>
        </w:rPr>
        <w:t>o</w:t>
      </w:r>
      <w:r w:rsidRPr="00730E47">
        <w:rPr>
          <w:rFonts w:ascii="Arial" w:hAnsi="Arial" w:cs="Arial"/>
          <w:sz w:val="20"/>
          <w:szCs w:val="20"/>
          <w:lang w:val="en-US"/>
        </w:rPr>
        <w:t>C) before comparison. Decadal averages of modelled</w:t>
      </w:r>
      <w:r w:rsidRPr="00730E47">
        <w:rPr>
          <w:rFonts w:ascii="Arial" w:hAnsi="Arial" w:cs="Arial"/>
          <w:sz w:val="20"/>
          <w:szCs w:val="20"/>
        </w:rPr>
        <w:t xml:space="preserve"> precipitation and temperature were extracted and averaged across grid cells that encompassed the entire Australian continental land mass (Figure S15, n=168), the Murray-Darling Basin (Figure S2, n=26), the Lake Eyre Basin (Figure S2, n=32) and the region covered by continuous proxy records used in the change point analysis (Figure S5, n=36). </w:t>
      </w:r>
      <w:r w:rsidRPr="00730E47">
        <w:rPr>
          <w:rFonts w:ascii="Arial" w:hAnsi="Arial" w:cs="Arial"/>
          <w:sz w:val="20"/>
          <w:szCs w:val="20"/>
          <w:lang w:val="en-US"/>
        </w:rPr>
        <w:t>The modelled temperature and precipitation are based on grid cells that cover the designated regions, but some of these encompass relatively small areas outside these regions.</w:t>
      </w:r>
    </w:p>
    <w:p w14:paraId="4BF593F3" w14:textId="77777777"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Modern precipitation (mm/day; 1900-2020) and temperature (</w:t>
      </w:r>
      <w:r w:rsidRPr="00730E47">
        <w:rPr>
          <w:rFonts w:ascii="Arial" w:hAnsi="Arial" w:cs="Arial"/>
          <w:sz w:val="20"/>
          <w:szCs w:val="20"/>
          <w:vertAlign w:val="superscript"/>
          <w:lang w:val="en-US"/>
        </w:rPr>
        <w:t>o</w:t>
      </w:r>
      <w:r w:rsidRPr="00730E47">
        <w:rPr>
          <w:rFonts w:ascii="Arial" w:hAnsi="Arial" w:cs="Arial"/>
          <w:sz w:val="20"/>
          <w:szCs w:val="20"/>
          <w:lang w:val="en-US"/>
        </w:rPr>
        <w:t>C; 1961-1990) were extracted from the gridded climate data available from the Australian Bureau of Meteorology (BOM). Modern precipitation (mm/day) from the MBD and LEB were extracted from the average annual precipitation gridded data, averaged across the basins and decadal averages calculated from 1900 onwards. Modern temperature (</w:t>
      </w:r>
      <w:r w:rsidRPr="00730E47">
        <w:rPr>
          <w:rFonts w:ascii="Arial" w:hAnsi="Arial" w:cs="Arial"/>
          <w:sz w:val="20"/>
          <w:szCs w:val="20"/>
          <w:vertAlign w:val="superscript"/>
          <w:lang w:val="en-US"/>
        </w:rPr>
        <w:t>o</w:t>
      </w:r>
      <w:r w:rsidRPr="00730E47">
        <w:rPr>
          <w:rFonts w:ascii="Arial" w:hAnsi="Arial" w:cs="Arial"/>
          <w:sz w:val="20"/>
          <w:szCs w:val="20"/>
          <w:lang w:val="en-US"/>
        </w:rPr>
        <w:t>C) from the MDB and LEB were extracted from the 1961-1990 gridded data average for each basin. Climatological data for each drainage basin were extracted using digital elevation derived drainage basin shape files.</w:t>
      </w:r>
    </w:p>
    <w:p w14:paraId="2739A1C1" w14:textId="77777777" w:rsidR="00730E47" w:rsidRPr="00730E47" w:rsidRDefault="00730E47" w:rsidP="00730E47">
      <w:pPr>
        <w:pStyle w:val="Subtitle"/>
        <w:jc w:val="left"/>
        <w:rPr>
          <w:rFonts w:ascii="Arial" w:hAnsi="Arial" w:cs="Arial"/>
          <w:b/>
          <w:bCs/>
          <w:sz w:val="20"/>
          <w:szCs w:val="20"/>
        </w:rPr>
      </w:pPr>
      <w:r w:rsidRPr="00730E47">
        <w:rPr>
          <w:rFonts w:ascii="Arial" w:hAnsi="Arial" w:cs="Arial"/>
          <w:b/>
          <w:bCs/>
          <w:sz w:val="20"/>
          <w:szCs w:val="20"/>
        </w:rPr>
        <w:t>Continuous proxy records</w:t>
      </w:r>
    </w:p>
    <w:p w14:paraId="68FF1FBC" w14:textId="77777777" w:rsidR="00730E47" w:rsidRPr="00730E47" w:rsidRDefault="00730E47" w:rsidP="00730E47">
      <w:pPr>
        <w:pStyle w:val="Papertext"/>
        <w:rPr>
          <w:rFonts w:ascii="Arial" w:hAnsi="Arial" w:cs="Arial"/>
          <w:sz w:val="20"/>
          <w:szCs w:val="20"/>
        </w:rPr>
      </w:pPr>
      <w:r w:rsidRPr="00730E47">
        <w:rPr>
          <w:rFonts w:ascii="Arial" w:hAnsi="Arial" w:cs="Arial"/>
          <w:sz w:val="20"/>
          <w:szCs w:val="20"/>
        </w:rPr>
        <w:t xml:space="preserve">Speleothem records from continental Australia that covered any time period between 25  – 8 ka were sourced from </w:t>
      </w:r>
      <w:bookmarkStart w:id="6" w:name="_Hlk126063569"/>
      <w:r w:rsidRPr="00730E47">
        <w:rPr>
          <w:rFonts w:ascii="Arial" w:hAnsi="Arial" w:cs="Arial"/>
          <w:sz w:val="20"/>
          <w:szCs w:val="20"/>
        </w:rPr>
        <w:t xml:space="preserve">the Speleothem Isotope Synthesis and Analyses (SISAL) V2 database </w:t>
      </w:r>
      <w:r w:rsidRPr="00730E47">
        <w:rPr>
          <w:rFonts w:ascii="Arial" w:hAnsi="Arial" w:cs="Arial"/>
          <w:sz w:val="20"/>
          <w:szCs w:val="20"/>
        </w:rPr>
        <w:fldChar w:fldCharType="begin" w:fldLock="1"/>
      </w:r>
      <w:r w:rsidRPr="00730E47">
        <w:rPr>
          <w:rFonts w:ascii="Arial" w:hAnsi="Arial" w:cs="Arial"/>
          <w:sz w:val="20"/>
          <w:szCs w:val="20"/>
        </w:rPr>
        <w:instrText>ADDIN CSL_CITATION {"citationItems":[{"id":"ITEM-1","itemData":{"DOI":"10.5194/essd-12-2579-2020","ISSN":"18663516","abstract":"Characterizing the temporal uncertainty in palaeoclimate records is crucial for analysing past climate change, correlating climate events between records, assessing climate periodicities, identifying potential triggers and evaluating climate model simulations. The first global compilation of speleothem isotope records by the SISAL (Speleothem Isotope Synthesis and Analysis) working group showed that age model uncertainties are not systematically reported in the published literature, and these are only available for a limited number of records (ca. 15 %, n = 107/691). To improve the usefulness of the SISAL database, we have (i) improved the database's spatio-temporal coverage and (ii) created new chronologies using seven different approaches for age- depth modelling. We have applied these alternative chronologies to the records from the first version of the SISAL database (SISALv1) and to new records compiled since the release of SISALv1. This paper documents the necessary changes in the structure of the SISAL database to accommodate the inclusion of the new age models and their uncertainties as well as the expansion of the database to include new records and the qualitycontrol measures applied. This paper also documents the age-depth model approaches used to calculate the new chronologies. The updated version of the SISAL database (SISALv2) contains isotopic data from 691 speleothem records from 294 cave sites and new age-depth models, including age-depth temporal uncertainties for 512 speleothems.","author":[{"dropping-particle":"","family":"Comas-Bru","given":"Laia","non-dropping-particle":"","parse-names":false,"suffix":""},{"dropping-particle":"","family":"Rehfeld","given":"Kira","non-dropping-particle":"","parse-names":false,"suffix":""},{"dropping-particle":"","family":"Roesch","given":"Carla","non-dropping-particle":"","parse-names":false,"suffix":""},{"dropping-particle":"","family":"Amirnezhad-Mozhdehi","given":"Sahar","non-dropping-particle":"","parse-names":false,"suffix":""},{"dropping-particle":"","family":"Harrison","given":"Sandy P.","non-dropping-particle":"","parse-names":false,"suffix":""},{"dropping-particle":"","family":"Atsawawaranunt","given":"Kamolphat","non-dropping-particle":"","parse-names":false,"suffix":""},{"dropping-particle":"","family":"Ahmad","given":"Syed Masood","non-dropping-particle":"","parse-names":false,"suffix":""},{"dropping-particle":"","family":"Brahim","given":"Yassine Ait","non-dropping-particle":"","parse-names":false,"suffix":""},{"dropping-particle":"","family":"Baker","given":"Andy","non-dropping-particle":"","parse-names":false,"suffix":""},{"dropping-particle":"","family":"Bosomworth","given":"Matthew","non-dropping-particle":"","parse-names":false,"suffix":""},{"dropping-particle":"","family":"Breitenbach","given":"Sebastian F.M.","non-dropping-particle":"","parse-names":false,"suffix":""},{"dropping-particle":"","family":"Burstyn","given":"Yuval","non-dropping-particle":"","parse-names":false,"suffix":""},{"dropping-particle":"","family":"Columbu","given":"Andrea","non-dropping-particle":"","parse-names":false,"suffix":""},{"dropping-particle":"","family":"Deininger","given":"Michael","non-dropping-particle":"","parse-names":false,"suffix":""},{"dropping-particle":"","family":"Demény","given":"Attila","non-dropping-particle":"","parse-names":false,"suffix":""},{"dropping-particle":"","family":"Dixon","given":"Bronwyn","non-dropping-particle":"","parse-names":false,"suffix":""},{"dropping-particle":"","family":"Fohlmeister","given":"Jens","non-dropping-particle":"","parse-names":false,"suffix":""},{"dropping-particle":"","family":"Hatvani","given":"István Gábor","non-dropping-particle":"","parse-names":false,"suffix":""},{"dropping-particle":"","family":"Hu","given":"Jun","non-dropping-particle":"","parse-names":false,"suffix":""},{"dropping-particle":"","family":"Kaushal","given":"Nikita","non-dropping-particle":"","parse-names":false,"suffix":""},{"dropping-particle":"","family":"Kern","given":"Zoltán","non-dropping-particle":"","parse-names":false,"suffix":""},{"dropping-particle":"","family":"Labuhn","given":"Inga","non-dropping-particle":"","parse-names":false,"suffix":""},{"dropping-particle":"","family":"Lechleitner","given":"Franziska A.","non-dropping-particle":"","parse-names":false,"suffix":""},{"dropping-particle":"","family":"Lorrey","given":"Andrew","non-dropping-particle":"","parse-names":false,"suffix":""},{"dropping-particle":"","family":"Martrat","given":"Belen","non-dropping-particle":"","parse-names":false,"suffix":""},{"dropping-particle":"","family":"Novello","given":"Valdir Felipe","non-dropping-particle":"","parse-names":false,"suffix":""},{"dropping-particle":"","family":"Oster","given":"Jessica","non-dropping-particle":"","parse-names":false,"suffix":""},{"dropping-particle":"","family":"Pérez-Mejías","given":"Carlos","non-dropping-particle":"","parse-names":false,"suffix":""},{"dropping-particle":"","family":"Scholz","given":"Denis","non-dropping-particle":"","parse-names":false,"suffix":""},{"dropping-particle":"","family":"Scroxton","given":"Nick","non-dropping-particle":"","parse-names":false,"suffix":""},{"dropping-particle":"","family":"Sinha","given":"Nitesh","non-dropping-particle":"","parse-names":false,"suffix":""},{"dropping-particle":"","family":"Ward","given":"Brittany Marie","non-dropping-particle":"","parse-names":false,"suffix":""},{"dropping-particle":"","family":"Warken","given":"Sophie","non-dropping-particle":"","parse-names":false,"suffix":""},{"dropping-particle":"","family":"Zhang","given":"Haiwei","non-dropping-particle":"","parse-names":false,"suffix":""},{"dropping-particle":"","family":"Apaéstegui","given":"James","non-dropping-particle":"","parse-names":false,"suffix":""},{"dropping-particle":"","family":"Baldini","given":"Lisa M.","non-dropping-particle":"","parse-names":false,"suffix":""},{"dropping-particle":"","family":"Band","given":"Shraddha","non-dropping-particle":"","parse-names":false,"suffix":""},{"dropping-particle":"","family":"Blaauw","given":"Maarten","non-dropping-particle":"","parse-names":false,"suffix":""},{"dropping-particle":"","family":"Boch","given":"Ronny","non-dropping-particle":"","parse-names":false,"suffix":""},{"dropping-particle":"","family":"Borsato","given":"Andrea","non-dropping-particle":"","parse-names":false,"suffix":""},{"dropping-particle":"","family":"Budsky","given":"Alexander","non-dropping-particle":"","parse-names":false,"suffix":""},{"dropping-particle":"","family":"Rosell","given":"Maria Gracia Bustamante","non-dropping-particle":"","parse-names":false,"suffix":""},{"dropping-particle":"","family":"Chawchai","given":"Sakonvan","non-dropping-particle":"","parse-names":false,"suffix":""},{"dropping-particle":"","family":"Constantin","given":"Silviu","non-dropping-particle":"","parse-names":false,"suffix":""},{"dropping-particle":"","family":"Denniston","given":"Rhawn","non-dropping-particle":"","parse-names":false,"suffix":""},{"dropping-particle":"","family":"Dragusin","given":"Virgil","non-dropping-particle":"","parse-names":false,"suffix":""},{"dropping-particle":"","family":"Drysdale","given":"Russell","non-dropping-particle":"","parse-names":false,"suffix":""},{"dropping-particle":"","family":"Dumitru","given":"Oana","non-dropping-particle":"","parse-names":false,"suffix":""},{"dropping-particle":"","family":"Frappier","given":"Amy","non-dropping-particle":"","parse-names":false,"suffix":""},{"dropping-particle":"","family":"Gandhi","given":"Naveen","non-dropping-particle":"","parse-names":false,"suffix":""},{"dropping-particle":"","family":"Gautam","given":"Pawan","non-dropping-particle":"","parse-names":false,"suffix":""},{"dropping-particle":"","family":"Hanying","given":"Li","non-dropping-particle":"","parse-names":false,"suffix":""},{"dropping-particle":"","family":"Isola","given":"Ilaria","non-dropping-particle":"","parse-names":false,"suffix":""},{"dropping-particle":"","family":"Jiang","given":"Xiuyang","non-dropping-particle":"","parse-names":false,"suffix":""},{"dropping-particle":"","family":"Jingyao","given":"Zhao","non-dropping-particle":"","parse-names":false,"suffix":""},{"dropping-particle":"","family":"Johnson","given":"Kathleen","non-dropping-particle":"","parse-names":false,"suffix":""},{"dropping-particle":"","family":"Vanessa Johnston","given":"","non-dropping-particle":"","parse-names":false,"suffix":""},{"dropping-particle":"","family":"Kathayat","given":"Gayatri","non-dropping-particle":"","parse-names":false,"suffix":""},{"dropping-particle":"","family":"Klose","given":"Jennifer","non-dropping-particle":"","parse-names":false,"suffix":""},{"dropping-particle":"","family":"Krause","given":"Claire","non-dropping-particle":"","parse-names":false,"suffix":""},{"dropping-particle":"","family":"Lachniet","given":"Matthew","non-dropping-particle":"","parse-names":false,"suffix":""},{"dropping-particle":"","family":"Laskar","given":"Amzad","non-dropping-particle":"","parse-names":false,"suffix":""},{"dropping-particle":"","family":"Lauritzen","given":"Stein Erik","non-dropping-particle":"","parse-names":false,"suffix":""},{"dropping-particle":"","family":"Lončar","given":"Nina","non-dropping-particle":"","parse-names":false,"suffix":""},{"dropping-particle":"","family":"Moseley","given":"Gina","non-dropping-particle":"","parse-names":false,"suffix":""},{"dropping-particle":"","family":"Narayana","given":"Allu C.","non-dropping-particle":"","parse-names":false,"suffix":""},{"dropping-particle":"","family":"Onac","given":"Bogdan P.","non-dropping-particle":"","parse-names":false,"suffix":""},{"dropping-particle":"","family":"Racovitǎ","given":"Emil","non-dropping-particle":"","parse-names":false,"suffix":""},{"dropping-particle":"","family":"Pawlak","given":"Jacek","non-dropping-particle":"","parse-names":false,"suffix":""},{"dropping-particle":"","family":"Ramsey","given":"Christopher Bronk","non-dropping-particle":"","parse-names":false,"suffix":""},{"dropping-particle":"","family":"Rivera-Collazo","given":"Isabel","non-dropping-particle":"","parse-names":false,"suffix":""},{"dropping-particle":"","family":"Rossi","given":"Carlos","non-dropping-particle":"","parse-names":false,"suffix":""},{"dropping-particle":"","family":"Rowe","given":"Peter J.","non-dropping-particle":"","parse-names":false,"suffix":""},{"dropping-particle":"","family":"Stríkis","given":"Nicolás M.","non-dropping-particle":"","parse-names":false,"suffix":""},{"dropping-particle":"","family":"Tan","given":"Liangcheng","non-dropping-particle":"","parse-names":false,"suffix":""},{"dropping-particle":"","family":"Verheyden","given":"Sophie","non-dropping-particle":"","parse-names":false,"suffix":""},{"dropping-particle":"","family":"Vonhof","given":"Hubert","non-dropping-particle":"","parse-names":false,"suffix":""},{"dropping-particle":"","family":"Weber","given":"Michael","non-dropping-particle":"","parse-names":false,"suffix":""},{"dropping-particle":"","family":"Wendt","given":"Kathleen","non-dropping-particle":"","parse-names":false,"suffix":""},{"dropping-particle":"","family":"Wilcox","given":"Paul","non-dropping-particle":"","parse-names":false,"suffix":""},{"dropping-particle":"","family":"Winter","given":"Amos","non-dropping-particle":"","parse-names":false,"suffix":""},{"dropping-particle":"","family":"Wu","given":"Jiangying","non-dropping-particle":"","parse-names":false,"suffix":""},{"dropping-particle":"","family":"Wynn","given":"Peter","non-dropping-particle":"","parse-names":false,"suffix":""},{"dropping-particle":"","family":"Yadava","given":"Madhusudan G.","non-dropping-particle":"","parse-names":false,"suffix":""}],"container-title":"Earth System Science Data","id":"ITEM-1","issue":"4","issued":{"date-parts":[["2020"]]},"page":"2579-2606","title":"SISALv2: A comprehensive speleothem isotope database with multiple age-depth models","type":"article-journal","volume":"12"},"uris":["http://www.mendeley.com/documents/?uuid=ef3f876d-6157-49b9-88fc-88be052c2780"]}],"mendeley":{"formattedCitation":"(3)","plainTextFormattedCitation":"(3)","previouslyFormattedCitation":"(3)"},"properties":{"noteIndex":0},"schema":"https://github.com/citation-style-language/schema/raw/master/csl-citation.json"}</w:instrText>
      </w:r>
      <w:r w:rsidRPr="00730E47">
        <w:rPr>
          <w:rFonts w:ascii="Arial" w:hAnsi="Arial" w:cs="Arial"/>
          <w:sz w:val="20"/>
          <w:szCs w:val="20"/>
        </w:rPr>
        <w:fldChar w:fldCharType="separate"/>
      </w:r>
      <w:r w:rsidRPr="00730E47">
        <w:rPr>
          <w:rFonts w:ascii="Arial" w:hAnsi="Arial" w:cs="Arial"/>
          <w:noProof/>
          <w:sz w:val="20"/>
          <w:szCs w:val="20"/>
        </w:rPr>
        <w:t>(3)</w:t>
      </w:r>
      <w:r w:rsidRPr="00730E47">
        <w:rPr>
          <w:rFonts w:ascii="Arial" w:hAnsi="Arial" w:cs="Arial"/>
          <w:sz w:val="20"/>
          <w:szCs w:val="20"/>
        </w:rPr>
        <w:fldChar w:fldCharType="end"/>
      </w:r>
      <w:r w:rsidRPr="00730E47">
        <w:rPr>
          <w:rFonts w:ascii="Arial" w:hAnsi="Arial" w:cs="Arial"/>
          <w:sz w:val="20"/>
          <w:szCs w:val="20"/>
        </w:rPr>
        <w:t xml:space="preserve">. </w:t>
      </w:r>
      <w:bookmarkEnd w:id="6"/>
      <w:r w:rsidRPr="00730E47">
        <w:rPr>
          <w:rFonts w:ascii="Arial" w:hAnsi="Arial" w:cs="Arial"/>
          <w:sz w:val="20"/>
          <w:szCs w:val="20"/>
        </w:rPr>
        <w:t xml:space="preserve">Bayesian age models were developed for each speleothem record in the SISAL V2 database and these updated chronologies were used here. Precipitation (mm/day) outputs from the iTRACE model were extracted for the grid cell containing each speleothem record (Figure S2). </w:t>
      </w:r>
    </w:p>
    <w:p w14:paraId="7D73D9D6" w14:textId="45D9404A" w:rsidR="00730E47" w:rsidRPr="00B8261A" w:rsidRDefault="00730E47" w:rsidP="00730E47">
      <w:pPr>
        <w:pStyle w:val="Papertext"/>
        <w:rPr>
          <w:rFonts w:ascii="Arial" w:hAnsi="Arial" w:cs="Arial"/>
          <w:sz w:val="20"/>
          <w:szCs w:val="20"/>
          <w:lang w:val="en-US"/>
        </w:rPr>
      </w:pPr>
      <w:bookmarkStart w:id="7" w:name="_Hlk126063934"/>
      <w:r w:rsidRPr="00730E47">
        <w:rPr>
          <w:rFonts w:ascii="Arial" w:hAnsi="Arial" w:cs="Arial"/>
          <w:sz w:val="20"/>
          <w:szCs w:val="20"/>
        </w:rPr>
        <w:t xml:space="preserve">Continuous lacustrine proxy records </w:t>
      </w:r>
      <w:bookmarkEnd w:id="7"/>
      <w:r w:rsidRPr="00730E47">
        <w:rPr>
          <w:rFonts w:ascii="Arial" w:hAnsi="Arial" w:cs="Arial"/>
          <w:sz w:val="20"/>
          <w:szCs w:val="20"/>
        </w:rPr>
        <w:t xml:space="preserve">from late in the last glacial cycle in Australia are classically low-resolution, and include poorly constrained records of vegetation change </w:t>
      </w:r>
      <w:r w:rsidRPr="00730E47">
        <w:rPr>
          <w:rFonts w:ascii="Arial" w:eastAsiaTheme="minorEastAsia" w:hAnsi="Arial" w:cs="Arial"/>
          <w:i/>
          <w:kern w:val="20"/>
          <w:sz w:val="20"/>
          <w:szCs w:val="20"/>
          <w:lang w:val="en-US"/>
        </w:rPr>
        <w:fldChar w:fldCharType="begin" w:fldLock="1"/>
      </w:r>
      <w:r w:rsidRPr="00730E47">
        <w:rPr>
          <w:rFonts w:ascii="Arial" w:hAnsi="Arial" w:cs="Arial"/>
          <w:sz w:val="20"/>
          <w:szCs w:val="20"/>
        </w:rPr>
        <w:instrText>ADDIN CSL_CITATION {"citationItems":[{"id":"ITEM-1","itemData":{"DOI":"10.1017/qua.2021.16","ISSN":"0033-5894","abstract":"The timing and duration of the coldest period in the last glacial stage, often referred to as the last glacial maximum (LGM), has been observed to vary spatially and temporally. In Australia, this period is characterised by colder, and in some places more arid, climates than today. We applied Monte-Carlo change point analysis to all available continuous proxy records covering this period, primarily pollen records, from across Australia (n = 37) to assess this change. We find a significant change point occurred (within uncertainty) at 28.6 ± 2.8 ka in 25 records. We interpret this change as a shift to cooler climates, associated with a widespread decline in biological productivity. An additional change point occurred at 17.7 ± 2.2 ka in 24 records. We interpret this change as a shift towards warmer climates, associated with increased biological productivity. We broadly characterise the period between 28.6 (± 2.8) – 17.7 (± 2.2) ka as an extended period of maximum cooling, with low productivity vegetation that may have occurred as a combined response to reduced temperatures, lower moisture availability and atmospheric CO 2 . These results have implications for how the spatial and temporal coherence of climate change, in this case during the LGM, can be best interrogated and interpreted.","author":[{"dropping-particle":"","family":"Cadd","given":"Haidee","non-dropping-particle":"","parse-names":false,"suffix":""},{"dropping-particle":"","family":"Petherick","given":"Lynda","non-dropping-particle":"","parse-names":false,"suffix":""},{"dropping-particle":"","family":"Tyler","given":"Jonathan","non-dropping-particle":"","parse-names":false,"suffix":""},{"dropping-particle":"","family":"Herbert","given":"Annika","non-dropping-particle":"","parse-names":false,"suffix":""},{"dropping-particle":"","family":"Cohen","given":"Tim J","non-dropping-particle":"","parse-names":false,"suffix":""},{"dropping-particle":"","family":"Sniderman","given":"Kale","non-dropping-particle":"","parse-names":false,"suffix":""},{"dropping-particle":"","family":"Barrows","given":"Timothy T.","non-dropping-particle":"","parse-names":false,"suffix":""},{"dropping-particle":"","family":"Fulop","given":"Reka H.","non-dropping-particle":"","parse-names":false,"suffix":""},{"dropping-particle":"","family":"Knight","given":"Jasper","non-dropping-particle":"","parse-names":false,"suffix":""},{"dropping-particle":"","family":"Kershaw","given":"A. Peter","non-dropping-particle":"","parse-names":false,"suffix":""},{"dropping-particle":"","family":"Colhoun","given":"Eric A.","non-dropping-particle":"","parse-names":false,"suffix":""},{"dropping-particle":"","family":"Harris","given":"Mathew R.P.","non-dropping-particle":"","parse-names":false,"suffix":""}],"container-title":"Quaternary Research","id":"ITEM-1","issue":"May","issued":{"date-parts":[["2021","7","12"]]},"page":"5-23","title":"A continental perspective on the timing of environmental change during the last glacial stage in Australia","type":"article-journal","volume":"102"},"uris":["http://www.mendeley.com/documents/?uuid=43b82ea6-9c89-4888-aab2-e8c6a6a226dd"]}],"mendeley":{"formattedCitation":"(4)","plainTextFormattedCitation":"(4)","previouslyFormattedCitation":"(4)"},"properties":{"noteIndex":0},"schema":"https://github.com/citation-style-language/schema/raw/master/csl-citation.json"}</w:instrText>
      </w:r>
      <w:r w:rsidRPr="00730E47">
        <w:rPr>
          <w:rFonts w:ascii="Arial" w:eastAsiaTheme="minorEastAsia" w:hAnsi="Arial" w:cs="Arial"/>
          <w:i/>
          <w:kern w:val="20"/>
          <w:sz w:val="20"/>
          <w:szCs w:val="20"/>
          <w:lang w:val="en-US"/>
        </w:rPr>
        <w:fldChar w:fldCharType="separate"/>
      </w:r>
      <w:r w:rsidRPr="00730E47">
        <w:rPr>
          <w:rFonts w:ascii="Arial" w:hAnsi="Arial" w:cs="Arial"/>
          <w:noProof/>
          <w:sz w:val="20"/>
          <w:szCs w:val="20"/>
        </w:rPr>
        <w:t>(4)</w:t>
      </w:r>
      <w:r w:rsidRPr="00730E47">
        <w:rPr>
          <w:rFonts w:ascii="Arial" w:eastAsiaTheme="minorEastAsia" w:hAnsi="Arial" w:cs="Arial"/>
          <w:i/>
          <w:kern w:val="20"/>
          <w:sz w:val="20"/>
          <w:szCs w:val="20"/>
          <w:lang w:val="en-US"/>
        </w:rPr>
        <w:fldChar w:fldCharType="end"/>
      </w:r>
      <w:r w:rsidRPr="00730E47">
        <w:rPr>
          <w:rFonts w:ascii="Arial" w:hAnsi="Arial" w:cs="Arial"/>
          <w:sz w:val="20"/>
          <w:szCs w:val="20"/>
        </w:rPr>
        <w:t>. Proxy records of vegetation change are sensitive to changes in moisture balance, temperature, disturbance (e.g., fire) and atmospheric CO</w:t>
      </w:r>
      <w:r w:rsidRPr="00730E47">
        <w:rPr>
          <w:rFonts w:ascii="Arial" w:hAnsi="Arial" w:cs="Arial"/>
          <w:sz w:val="20"/>
          <w:szCs w:val="20"/>
          <w:vertAlign w:val="subscript"/>
        </w:rPr>
        <w:t>2</w:t>
      </w:r>
      <w:r w:rsidRPr="00730E47">
        <w:rPr>
          <w:rFonts w:ascii="Arial" w:hAnsi="Arial" w:cs="Arial"/>
          <w:sz w:val="20"/>
          <w:szCs w:val="20"/>
        </w:rPr>
        <w:t xml:space="preserve"> levels </w:t>
      </w:r>
      <w:r w:rsidRPr="00730E47">
        <w:rPr>
          <w:rFonts w:ascii="Arial" w:eastAsiaTheme="minorEastAsia" w:hAnsi="Arial" w:cs="Arial"/>
          <w:i/>
          <w:kern w:val="20"/>
          <w:sz w:val="20"/>
          <w:szCs w:val="20"/>
          <w:lang w:val="en-US"/>
        </w:rPr>
        <w:fldChar w:fldCharType="begin" w:fldLock="1"/>
      </w:r>
      <w:r w:rsidRPr="00730E47">
        <w:rPr>
          <w:rFonts w:ascii="Arial" w:hAnsi="Arial" w:cs="Arial"/>
          <w:sz w:val="20"/>
          <w:szCs w:val="20"/>
        </w:rPr>
        <w:instrText>ADDIN CSL_CITATION {"citationItems":[{"id":"ITEM-1","itemData":{"DOI":"10.1111/j.1469-8137.2004.01252.x","ISBN":"0028646X","ISSN":"0028646X","PMID":"15720663","abstract":"• This paper is the first global study of the extent to which fire determines global vegetation patterns by preventing ecosystems from achieving the potential height, biomass and dominant functional types expected under the ambient climate (climate potential). • To determine climate potential, we simulated vegetation without fire using a dynamic global-vegetation model. Model results were tested against fire exclusion studies from different parts of the world. Simulated dominant growth forms and tree cover were compared with satellite-derived land- and tree-cover maps. • Simulations were generally consistent with results of fire exclusion studies in southern Africa and elsewhere. Comparison of global 'fire off' simulations with landcover and treecover maps show that vast areas of humid C4 grasslands and savannas, especially in South America and Africa, have the climate potential to form forests. These are the most frequently burnt ecosystems in the world. Without fire, closed forests would double from 27% to 56% of vegetated grid cells, mostly at the expense of C4 plants but also of C3 shrubs and grasses in cooler climates. • C4 grasses began spreading 6-8 Ma, long before human influence on fire regimes. Our results suggest that fire was a major factor in their spread into forested regions, splitting biotas into fire tolerant and intolerant taxa.","author":[{"dropping-particle":"","family":"Bond","given":"W. J.","non-dropping-particle":"","parse-names":false,"suffix":""},{"dropping-particle":"","family":"Woodward","given":"F. I.","non-dropping-particle":"","parse-names":false,"suffix":""},{"dropping-particle":"","family":"Midgley","given":"G. F.","non-dropping-particle":"","parse-names":false,"suffix":""}],"container-title":"New Phytologist","id":"ITEM-1","issue":"2","issued":{"date-parts":[["2005"]]},"page":"525-538","title":"The global distribution of ecosystems in a world without fire","type":"article-journal","volume":"165"},"uris":["http://www.mendeley.com/documents/?uuid=38828218-eb9c-4655-ad5d-5612e53e83a5"]},{"id":"ITEM-2","itemData":{"DOI":"10.1046/j.1365-2486.2003.00577.x","ISSN":"13541013","abstract":"The distribution and abundance of trees can be strongly affected by disturbance such as fire. In mixed tree/grass ecosystems, recurrent grass-fuelled fires can strongly suppress tree saplings and therefore control tree dominance. We propose that changes in atmospheric [CO2] could influence tree cover in such metastable ecosystems by altering their postburn recovery rates relative to flammable herbaceous growth forms such as grasses. Slow sapling recovery rates at low [CO2] would favour the spread of grasses and a reduction of tree cover. To test the possible importance of [CO2]/fire interactions, we first used a Dynamic Global Vegetation Model (DGVM) to simulate biomass in grassy ecosystems in South Africa with and without fire. The results indicate that fire has a major effect under higher rainfall conditions suggesting an important role for fire/[CO2] interactions. We then used a demographic model of the effects of fire on mesic savanna trees to test the importance of grass/tree differences in postburn recovery rates. We adjusted grass and tree growth in the model according to the DGVM output of net primary production at different [CO2] relative to current conditions. The simulations predicted elimination of trees at [CO2] typical of the last glacial period (180 ppm) because tree growth rate is too slow (15 years) to grow to a fire-proof size of ca. 3 m. Simulated grass growth would produce an adequate fuel load for a burn in only 2 years. Simulations of preindustrial [CO2] (270 ppm) predict occurrence of trees but at low densities. The greatest increase in trees occurs from preindustrial to current [CO2] (360 ppm). The simulations are consistent with palaeo-records which indicate that trees disappeared from sites that are currently savannas in South Africa in the last glacial. Savanna trees reappeared in the Holocene. There has also been a large increase in trees over the last 50-100 years. We suggest that slow tree recovery after fire, rather than differential photosynthetic efficiencies in C3 and C4 plants, might have been the significant factor in the Late Tertiary spread of flammable grasslands under low [CO2] because open, high light environments would have been a prerequisite for the spread of C4 grasses. Our simulations suggest further that low [CO2] could have been a significant factor in the reduction of trees during glacial times, because of their slower regrowth after disturbance, with fire favouring the spread of grasses.","author":[{"dropping-particle":"","family":"Bond","given":"W. J.","non-dropping-particle":"","parse-names":false,"suffix":""},{"dropping-particle":"","family":"Midgley","given":"G. F.","non-dropping-particle":"","parse-names":false,"suffix":""},{"dropping-particle":"","family":"Woodward","given":"F. I.","non-dropping-particle":"","parse-names":false,"suffix":""}],"container-title":"Global Change Biology","id":"ITEM-2","issue":"7","issued":{"date-parts":[["2003"]]},"page":"973-982","title":"The importance of low atmospheric CO2 and fire in promoting the spread of grasslands and savannas","type":"article-journal","volume":"9"},"uris":["http://www.mendeley.com/documents/?uuid=99e352d7-2839-4693-8e07-f5aef33dc37c"]},{"id":"ITEM-3","itemData":{"DOI":"10.1006/qres.1999.2065","ISSN":"0033-5894","abstract":"Methods of palaeoclimate reconstruction from pollen are built upon the assumption that plant–climate interactions remain the same through time or that these interactions are independent of changes in atmospheric CO 2 . The latter may be problematic because air trapped in polar ice caps indicates that atmospheric CO 2 has fluctuated significantly over at least the past 400,000 yr, and likely the last 1.6 million yr. Three other points indicate potential biases for vegetation-based climate proxies. First, C 3 -plant physiological research shows that the processes that determine growth optima in plants (photosynthesis, mitochondrial respiration, photorespiration) are all highly CO 2 -dependent, and thus were likely affected by the lower CO 2 levels of the last glacial maximum. Second, the ratio of carbon assimilation per unit transpiration (called water-use efficiency) is sensitive to changes in atmospheric CO 2 through effects on stomatal conductance and may have altered C 3 -plant responses to drought. Third, leaf gas-exchange experiments indicate that the response of plants to carbon-depleting environmental stresses are strengthened under low CO 2 relative to today. This paper reviews the scope of research addressing the consequences of low atmospheric CO 2 for plant and ecosystem processes and highlights why consideration of the physiological effects of low atmospheric CO 2 on plant function is recommended for any future refinements to pollen-based palaeoclimatic reconstructions.","author":[{"dropping-particle":"","family":"Cowling","given":"Sharon A.","non-dropping-particle":"","parse-names":false,"suffix":""},{"dropping-particle":"","family":"Sykes","given":"Martin T.","non-dropping-particle":"","parse-names":false,"suffix":""}],"container-title":"Quaternary Research","id":"ITEM-3","issue":"2","issued":{"date-parts":[["1999","9","20"]]},"page":"237-242","publisher":"UNSW Library","title":"Physiological Significance of Low Atmospheric CO 2 for Plant–Climate Interactions","type":"article-journal","volume":"52"},"uris":["http://www.mendeley.com/documents/?uuid=1d4170e2-4f4d-4004-b698-a25bb61129a8"]},{"id":"ITEM-4","itemData":{"DOI":"10.1016/j.gloplacha.2016.12.012","ISBN":"0921-8181","ISSN":"09218181","abstract":"We present a novel method to quantify the ecophysiological effects of changes in CO2concentration during the reconstruction of climate changes from fossil pollen assemblages. The method does not depend on any particular vegetation model. Instead, it makes use of general equations from ecophysiology and hydrology that link moisture index (MI) to transpiration and the ratio of leaf-internal to ambient CO2(χ). Statistically reconstructed MI values are corrected post facto for effects of CO2concentration. The correction is based on the principle that e, the rate of water loss per unit carbon gain, should be inversely related to effective moisture availability as sensed by plants. The method involves solving a non-linear equation that relates e to MI, temperature and CO2concentration via the Fu-Zhang relation between evapotranspiration and MI, Monteith's empirical relationship between vapour pressure deficit and evapotranspiration, and recently developed theory that predicts the response of χ to vapour pressure deficit and temperature. The solution to this equation provides a correction term for MI. The numerical value of the correction depends on the reconstructed MI. It is slightly sensitive to temperature, but primarily sensitive to CO2concentration. Under low LGM CO2concentration the correction is always positive, implying that LGM climate was wetter than it would seem from vegetation composition. A statistical reconstruction of last glacial maximum (LGM, 21±1 kyr BP) palaeoclimates, based on a new compilation of modern and LGM pollen assemblage data from Australia, is used to illustrate the method in practice. Applying the correction brings pollen-reconstructed LGM moisture availability in southeastern Australia better into line with palaeohydrological estimates of LGM climate.","author":[{"dropping-particle":"","family":"Prentice","given":"I. C.","non-dropping-particle":"","parse-names":false,"suffix":""},{"dropping-particle":"","family":"Cleator","given":"S. F.","non-dropping-particle":"","parse-names":false,"suffix":""},{"dropping-particle":"","family":"Huang","given":"Y. H.","non-dropping-particle":"","parse-names":false,"suffix":""},{"dropping-particle":"","family":"Harrison","given":"S. P.","non-dropping-particle":"","parse-names":false,"suffix":""},{"dropping-particle":"","family":"Roulstone","given":"I.","non-dropping-particle":"","parse-names":false,"suffix":""}],"container-title":"Global and Planetary Change","id":"ITEM-4","issued":{"date-parts":[["2017"]]},"page":"166-176","publisher":"Elsevier B.V.","title":"Reconstructing ice-age palaeoclimates: Quantifying low-CO2effects on plants","type":"article-journal","volume":"149"},"uris":["http://www.mendeley.com/documents/?uuid=d92ef480-19f3-46db-bdba-165706156323"]}],"mendeley":{"formattedCitation":"(5–8)","plainTextFormattedCitation":"(5–8)","previouslyFormattedCitation":"(5–8)"},"properties":{"noteIndex":0},"schema":"https://github.com/citation-style-language/schema/raw/master/csl-citation.json"}</w:instrText>
      </w:r>
      <w:r w:rsidRPr="00730E47">
        <w:rPr>
          <w:rFonts w:ascii="Arial" w:eastAsiaTheme="minorEastAsia" w:hAnsi="Arial" w:cs="Arial"/>
          <w:i/>
          <w:kern w:val="20"/>
          <w:sz w:val="20"/>
          <w:szCs w:val="20"/>
          <w:lang w:val="en-US"/>
        </w:rPr>
        <w:fldChar w:fldCharType="separate"/>
      </w:r>
      <w:r w:rsidRPr="00730E47">
        <w:rPr>
          <w:rFonts w:ascii="Arial" w:hAnsi="Arial" w:cs="Arial"/>
          <w:noProof/>
          <w:sz w:val="20"/>
          <w:szCs w:val="20"/>
        </w:rPr>
        <w:t>(5–8)</w:t>
      </w:r>
      <w:r w:rsidRPr="00730E47">
        <w:rPr>
          <w:rFonts w:ascii="Arial" w:eastAsiaTheme="minorEastAsia" w:hAnsi="Arial" w:cs="Arial"/>
          <w:i/>
          <w:kern w:val="20"/>
          <w:sz w:val="20"/>
          <w:szCs w:val="20"/>
          <w:lang w:val="en-US"/>
        </w:rPr>
        <w:fldChar w:fldCharType="end"/>
      </w:r>
      <w:r w:rsidRPr="00730E47">
        <w:rPr>
          <w:rFonts w:ascii="Arial" w:hAnsi="Arial" w:cs="Arial"/>
          <w:sz w:val="20"/>
          <w:szCs w:val="20"/>
        </w:rPr>
        <w:t xml:space="preserve">. Consequently, changes in vegetation proxy records are rarely </w:t>
      </w:r>
      <w:r w:rsidRPr="00730E47">
        <w:rPr>
          <w:rFonts w:ascii="Arial" w:hAnsi="Arial" w:cs="Arial"/>
          <w:sz w:val="20"/>
          <w:szCs w:val="20"/>
          <w:lang w:val="en-US"/>
        </w:rPr>
        <w:t xml:space="preserve">attributable to a single driver. We used the recent compilation of continuous proxy records that covered the late last glacial cycle from Australia from </w:t>
      </w:r>
      <w:r w:rsidRPr="00730E47">
        <w:rPr>
          <w:rFonts w:ascii="Arial" w:hAnsi="Arial" w:cs="Arial"/>
          <w:sz w:val="20"/>
          <w:szCs w:val="20"/>
          <w:lang w:val="en-US"/>
        </w:rPr>
        <w:fldChar w:fldCharType="begin" w:fldLock="1"/>
      </w:r>
      <w:r w:rsidRPr="00730E47">
        <w:rPr>
          <w:rFonts w:ascii="Arial" w:hAnsi="Arial" w:cs="Arial"/>
          <w:sz w:val="20"/>
          <w:szCs w:val="20"/>
          <w:lang w:val="en-US"/>
        </w:rPr>
        <w:instrText>ADDIN CSL_CITATION {"citationItems":[{"id":"ITEM-1","itemData":{"DOI":"10.1017/qua.2021.16","ISSN":"0033-5894","abstract":"The timing and duration of the coldest period in the last glacial stage, often referred to as the last glacial maximum (LGM), has been observed to vary spatially and temporally. In Australia, this period is characterised by colder, and in some places more arid, climates than today. We applied Monte-Carlo change point analysis to all available continuous proxy records covering this period, primarily pollen records, from across Australia (n = 37) to assess this change. We find a significant change point occurred (within uncertainty) at 28.6 ± 2.8 ka in 25 records. We interpret this change as a shift to cooler climates, associated with a widespread decline in biological productivity. An additional change point occurred at 17.7 ± 2.2 ka in 24 records. We interpret this change as a shift towards warmer climates, associated with increased biological productivity. We broadly characterise the period between 28.6 (± 2.8) – 17.7 (± 2.2) ka as an extended period of maximum cooling, with low productivity vegetation that may have occurred as a combined response to reduced temperatures, lower moisture availability and atmospheric CO 2 . These results have implications for how the spatial and temporal coherence of climate change, in this case during the LGM, can be best interrogated and interpreted.","author":[{"dropping-particle":"","family":"Cadd","given":"Haidee","non-dropping-particle":"","parse-names":false,"suffix":""},{"dropping-particle":"","family":"Petherick","given":"Lynda","non-dropping-particle":"","parse-names":false,"suffix":""},{"dropping-particle":"","family":"Tyler","given":"Jonathan","non-dropping-particle":"","parse-names":false,"suffix":""},{"dropping-particle":"","family":"Herbert","given":"Annika","non-dropping-particle":"","parse-names":false,"suffix":""},{"dropping-particle":"","family":"Cohen","given":"Tim J","non-dropping-particle":"","parse-names":false,"suffix":""},{"dropping-particle":"","family":"Sniderman","given":"Kale","non-dropping-particle":"","parse-names":false,"suffix":""},{"dropping-particle":"","family":"Barrows","given":"Timothy T.","non-dropping-particle":"","parse-names":false,"suffix":""},{"dropping-particle":"","family":"Fulop","given":"Reka H.","non-dropping-particle":"","parse-names":false,"suffix":""},{"dropping-particle":"","family":"Knight","given":"Jasper","non-dropping-particle":"","parse-names":false,"suffix":""},{"dropping-particle":"","family":"Kershaw","given":"A. Peter","non-dropping-particle":"","parse-names":false,"suffix":""},{"dropping-particle":"","family":"Colhoun","given":"Eric A.","non-dropping-particle":"","parse-names":false,"suffix":""},{"dropping-particle":"","family":"Harris","given":"Mathew R.P.","non-dropping-particle":"","parse-names":false,"suffix":""}],"container-title":"Quaternary Research","id":"ITEM-1","issue":"May","issued":{"date-parts":[["2021","7","12"]]},"page":"5-23","title":"A continental perspective on the timing of environmental change during the last glacial stage in Australia","type":"article-journal","volume":"102"},"uris":["http://www.mendeley.com/documents/?uuid=43b82ea6-9c89-4888-aab2-e8c6a6a226dd"]}],"mendeley":{"formattedCitation":"(4)","manualFormatting":"Cadd et al. (2021)","plainTextFormattedCitation":"(4)","previouslyFormattedCitation":"(4)"},"properties":{"noteIndex":0},"schema":"https://github.com/citation-style-language/schema/raw/master/csl-citation.json"}</w:instrText>
      </w:r>
      <w:r w:rsidRPr="00730E47">
        <w:rPr>
          <w:rFonts w:ascii="Arial" w:hAnsi="Arial" w:cs="Arial"/>
          <w:sz w:val="20"/>
          <w:szCs w:val="20"/>
          <w:lang w:val="en-US"/>
        </w:rPr>
        <w:fldChar w:fldCharType="separate"/>
      </w:r>
      <w:r w:rsidRPr="00730E47">
        <w:rPr>
          <w:rFonts w:ascii="Arial" w:hAnsi="Arial" w:cs="Arial"/>
          <w:noProof/>
          <w:sz w:val="20"/>
          <w:szCs w:val="20"/>
          <w:lang w:val="en-US"/>
        </w:rPr>
        <w:t>Cadd et al. (2021)</w:t>
      </w:r>
      <w:r w:rsidRPr="00730E47">
        <w:rPr>
          <w:rFonts w:ascii="Arial" w:hAnsi="Arial" w:cs="Arial"/>
          <w:sz w:val="20"/>
          <w:szCs w:val="20"/>
          <w:lang w:val="en-US"/>
        </w:rPr>
        <w:fldChar w:fldCharType="end"/>
      </w:r>
      <w:r w:rsidRPr="00730E47">
        <w:rPr>
          <w:rFonts w:ascii="Arial" w:hAnsi="Arial" w:cs="Arial"/>
          <w:sz w:val="20"/>
          <w:szCs w:val="20"/>
          <w:lang w:val="en-US"/>
        </w:rPr>
        <w:t xml:space="preserve"> to examine palaeoenvironmental changes. Proxy records </w:t>
      </w:r>
      <w:bookmarkStart w:id="8" w:name="_Hlk126063950"/>
      <w:r w:rsidRPr="00730E47">
        <w:rPr>
          <w:rFonts w:ascii="Arial" w:hAnsi="Arial" w:cs="Arial"/>
          <w:sz w:val="20"/>
          <w:szCs w:val="20"/>
          <w:lang w:val="en-US"/>
        </w:rPr>
        <w:t xml:space="preserve">(Figure S5; n=35) were analyzed for the period 22-8ka using the same methodology as Cadd et al. </w:t>
      </w:r>
      <w:r w:rsidRPr="00730E47">
        <w:rPr>
          <w:rFonts w:ascii="Arial" w:hAnsi="Arial" w:cs="Arial"/>
          <w:sz w:val="20"/>
          <w:szCs w:val="20"/>
          <w:lang w:val="en-US"/>
        </w:rPr>
        <w:fldChar w:fldCharType="begin" w:fldLock="1"/>
      </w:r>
      <w:r w:rsidRPr="00730E47">
        <w:rPr>
          <w:rFonts w:ascii="Arial" w:hAnsi="Arial" w:cs="Arial"/>
          <w:sz w:val="20"/>
          <w:szCs w:val="20"/>
          <w:lang w:val="en-US"/>
        </w:rPr>
        <w:instrText>ADDIN CSL_CITATION {"citationItems":[{"id":"ITEM-1","itemData":{"DOI":"10.1017/qua.2021.16","ISSN":"0033-5894","abstract":"The timing and duration of the coldest period in the last glacial stage, often referred to as the last glacial maximum (LGM), has been observed to vary spatially and temporally. In Australia, this period is characterised by colder, and in some places more arid, climates than today. We applied Monte-Carlo change point analysis to all available continuous proxy records covering this period, primarily pollen records, from across Australia (n = 37) to assess this change. We find a significant change point occurred (within uncertainty) at 28.6 ± 2.8 ka in 25 records. We interpret this change as a shift to cooler climates, associated with a widespread decline in biological productivity. An additional change point occurred at 17.7 ± 2.2 ka in 24 records. We interpret this change as a shift towards warmer climates, associated with increased biological productivity. We broadly characterise the period between 28.6 (± 2.8) – 17.7 (± 2.2) ka as an extended period of maximum cooling, with low productivity vegetation that may have occurred as a combined response to reduced temperatures, lower moisture availability and atmospheric CO 2 . These results have implications for how the spatial and temporal coherence of climate change, in this case during the LGM, can be best interrogated and interpreted.","author":[{"dropping-particle":"","family":"Cadd","given":"Haidee","non-dropping-particle":"","parse-names":false,"suffix":""},{"dropping-particle":"","family":"Petherick","given":"Lynda","non-dropping-particle":"","parse-names":false,"suffix":""},{"dropping-particle":"","family":"Tyler","given":"Jonathan","non-dropping-particle":"","parse-names":false,"suffix":""},{"dropping-particle":"","family":"Herbert","given":"Annika","non-dropping-particle":"","parse-names":false,"suffix":""},{"dropping-particle":"","family":"Cohen","given":"Tim J","non-dropping-particle":"","parse-names":false,"suffix":""},{"dropping-particle":"","family":"Sniderman","given":"Kale","non-dropping-particle":"","parse-names":false,"suffix":""},{"dropping-particle":"","family":"Barrows","given":"Timothy T.","non-dropping-particle":"","parse-names":false,"suffix":""},{"dropping-particle":"","family":"Fulop","given":"Reka H.","non-dropping-particle":"","parse-names":false,"suffix":""},{"dropping-particle":"","family":"Knight","given":"Jasper","non-dropping-particle":"","parse-names":false,"suffix":""},{"dropping-particle":"","family":"Kershaw","given":"A. Peter","non-dropping-particle":"","parse-names":false,"suffix":""},{"dropping-particle":"","family":"Colhoun","given":"Eric A.","non-dropping-particle":"","parse-names":false,"suffix":""},{"dropping-particle":"","family":"Harris","given":"Mathew R.P.","non-dropping-particle":"","parse-names":false,"suffix":""}],"container-title":"Quaternary Research","id":"ITEM-1","issue":"May","issued":{"date-parts":[["2021","7","12"]]},"page":"5-23","title":"A continental perspective on the timing of environmental change during the last glacial stage in Australia","type":"article-journal","volume":"102"},"uris":["http://www.mendeley.com/documents/?uuid=43b82ea6-9c89-4888-aab2-e8c6a6a226dd"]}],"mendeley":{"formattedCitation":"(4)","plainTextFormattedCitation":"(4)","previouslyFormattedCitation":"(4)"},"properties":{"noteIndex":0},"schema":"https://github.com/citation-style-language/schema/raw/master/csl-citation.json"}</w:instrText>
      </w:r>
      <w:r w:rsidRPr="00730E47">
        <w:rPr>
          <w:rFonts w:ascii="Arial" w:hAnsi="Arial" w:cs="Arial"/>
          <w:sz w:val="20"/>
          <w:szCs w:val="20"/>
          <w:lang w:val="en-US"/>
        </w:rPr>
        <w:fldChar w:fldCharType="separate"/>
      </w:r>
      <w:r w:rsidRPr="00730E47">
        <w:rPr>
          <w:rFonts w:ascii="Arial" w:hAnsi="Arial" w:cs="Arial"/>
          <w:noProof/>
          <w:sz w:val="20"/>
          <w:szCs w:val="20"/>
          <w:lang w:val="en-US"/>
        </w:rPr>
        <w:t>(4)</w:t>
      </w:r>
      <w:r w:rsidRPr="00730E47">
        <w:rPr>
          <w:rFonts w:ascii="Arial" w:hAnsi="Arial" w:cs="Arial"/>
          <w:sz w:val="20"/>
          <w:szCs w:val="20"/>
          <w:lang w:val="en-US"/>
        </w:rPr>
        <w:fldChar w:fldCharType="end"/>
      </w:r>
      <w:r w:rsidRPr="00730E47">
        <w:rPr>
          <w:rFonts w:ascii="Arial" w:hAnsi="Arial" w:cs="Arial"/>
          <w:sz w:val="20"/>
          <w:szCs w:val="20"/>
          <w:lang w:val="en-US"/>
        </w:rPr>
        <w:t xml:space="preserve">. </w:t>
      </w:r>
      <w:bookmarkEnd w:id="8"/>
      <w:r w:rsidRPr="00730E47">
        <w:rPr>
          <w:rFonts w:ascii="Arial" w:hAnsi="Arial" w:cs="Arial"/>
          <w:sz w:val="20"/>
          <w:szCs w:val="20"/>
          <w:lang w:val="en-US"/>
        </w:rPr>
        <w:t xml:space="preserve">Individual change point probability density functions (PDF) from each record were summed. </w:t>
      </w:r>
      <w:r w:rsidRPr="00730E47">
        <w:rPr>
          <w:rFonts w:ascii="Arial" w:hAnsi="Arial" w:cs="Arial"/>
          <w:sz w:val="20"/>
          <w:szCs w:val="20"/>
        </w:rPr>
        <w:t>Summed PDF were determined for all change points identified as representing a change to decreasing or increasing climate indicators (including temperature, precipitation and CO</w:t>
      </w:r>
      <w:r w:rsidRPr="00730E47">
        <w:rPr>
          <w:rFonts w:ascii="Arial" w:hAnsi="Arial" w:cs="Arial"/>
          <w:sz w:val="20"/>
          <w:szCs w:val="20"/>
          <w:vertAlign w:val="subscript"/>
        </w:rPr>
        <w:t>2</w:t>
      </w:r>
      <w:r w:rsidRPr="00730E47">
        <w:rPr>
          <w:rFonts w:ascii="Arial" w:hAnsi="Arial" w:cs="Arial"/>
          <w:sz w:val="20"/>
          <w:szCs w:val="20"/>
        </w:rPr>
        <w:t>). Cadd et al. (4) provides further details</w:t>
      </w:r>
      <w:r w:rsidR="00B8261A">
        <w:rPr>
          <w:rFonts w:ascii="Arial" w:hAnsi="Arial" w:cs="Arial"/>
          <w:sz w:val="20"/>
          <w:szCs w:val="20"/>
        </w:rPr>
        <w:t xml:space="preserve"> on the methods used</w:t>
      </w:r>
      <w:r w:rsidRPr="00730E47">
        <w:rPr>
          <w:rFonts w:ascii="Arial" w:hAnsi="Arial" w:cs="Arial"/>
          <w:sz w:val="20"/>
          <w:szCs w:val="20"/>
        </w:rPr>
        <w:t>.</w:t>
      </w:r>
    </w:p>
    <w:p w14:paraId="6078EB10" w14:textId="77777777" w:rsidR="00730E47" w:rsidRPr="00730E47" w:rsidRDefault="00730E47" w:rsidP="00730E47">
      <w:pPr>
        <w:pStyle w:val="Subtitle"/>
        <w:jc w:val="left"/>
        <w:rPr>
          <w:rFonts w:ascii="Arial" w:hAnsi="Arial" w:cs="Arial"/>
          <w:b/>
          <w:bCs/>
          <w:sz w:val="20"/>
          <w:szCs w:val="20"/>
        </w:rPr>
      </w:pPr>
      <w:r w:rsidRPr="00730E47">
        <w:rPr>
          <w:rFonts w:ascii="Arial" w:hAnsi="Arial" w:cs="Arial"/>
          <w:b/>
          <w:bCs/>
          <w:sz w:val="20"/>
          <w:szCs w:val="20"/>
        </w:rPr>
        <w:t>Discontinuous proxy records</w:t>
      </w:r>
    </w:p>
    <w:p w14:paraId="19DEBCA0" w14:textId="318B0A5B"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Discontinuous proxy records provide a snapshot of the palaeoenvironmental, or climate conditions, experienced by a system at an individual point in time. In Australia, geomorphological indicators of water flow or volume, such as fluvial systems and lake shoreline reconstructions, are </w:t>
      </w:r>
      <w:r w:rsidRPr="00730E47">
        <w:rPr>
          <w:rFonts w:ascii="Arial" w:hAnsi="Arial" w:cs="Arial"/>
          <w:sz w:val="20"/>
          <w:szCs w:val="20"/>
          <w:lang w:val="en-US"/>
        </w:rPr>
        <w:lastRenderedPageBreak/>
        <w:t xml:space="preserve">typically discontinuous indicating the minimum or maximum volume of water at a particular time. The length of time, or return interval, of these conditions experienced by the system may be variable and are complex to characterize. Fluvial discharge and higher bank full discharge may reflect increased moisture balance, either via increased precipitation or increased run-off. Reduced temperature reduces evaporation, while decreases in </w:t>
      </w:r>
      <w:r w:rsidR="00A74CD5">
        <w:rPr>
          <w:rFonts w:ascii="Arial" w:hAnsi="Arial" w:cs="Arial"/>
          <w:sz w:val="20"/>
          <w:szCs w:val="20"/>
          <w:lang w:val="en-US"/>
        </w:rPr>
        <w:t>vegetation</w:t>
      </w:r>
      <w:r w:rsidRPr="00730E47">
        <w:rPr>
          <w:rFonts w:ascii="Arial" w:hAnsi="Arial" w:cs="Arial"/>
          <w:sz w:val="20"/>
          <w:szCs w:val="20"/>
          <w:lang w:val="en-US"/>
        </w:rPr>
        <w:t xml:space="preserve"> cover and arboreal vegetation reduces evapotranspiration, both resulting in increased run-off. Discontinuous changes identified in fluvial systems may therefore be interpreted to also reflect changes in climate or the presence of a more variable climate regime, characterized by extremes. </w:t>
      </w:r>
    </w:p>
    <w:p w14:paraId="10F70A9D" w14:textId="6195C236" w:rsidR="00730E47" w:rsidRPr="00A74CD5" w:rsidRDefault="00730E47" w:rsidP="00730E47">
      <w:pPr>
        <w:pStyle w:val="Papertext"/>
        <w:rPr>
          <w:rStyle w:val="SubtleEmphasis"/>
          <w:rFonts w:ascii="Arial" w:hAnsi="Arial"/>
          <w:i w:val="0"/>
          <w:iCs w:val="0"/>
          <w:color w:val="auto"/>
          <w:sz w:val="20"/>
          <w:szCs w:val="20"/>
        </w:rPr>
      </w:pPr>
      <w:r w:rsidRPr="00A74CD5">
        <w:rPr>
          <w:rFonts w:ascii="Arial" w:hAnsi="Arial" w:cs="Arial"/>
          <w:sz w:val="20"/>
          <w:szCs w:val="20"/>
        </w:rPr>
        <w:t xml:space="preserve">Discontinuous records from fluvial and lacustrine settings </w:t>
      </w:r>
      <w:bookmarkStart w:id="9" w:name="_Hlk126063777"/>
      <w:r w:rsidRPr="00A74CD5">
        <w:rPr>
          <w:rFonts w:ascii="Arial" w:hAnsi="Arial" w:cs="Arial"/>
          <w:sz w:val="20"/>
          <w:szCs w:val="20"/>
        </w:rPr>
        <w:t>were accessed from the OCTOPUS database v.2 (</w:t>
      </w:r>
      <w:hyperlink r:id="rId9" w:history="1">
        <w:r w:rsidRPr="00A74CD5">
          <w:rPr>
            <w:rStyle w:val="Hyperlink"/>
            <w:rFonts w:ascii="Arial" w:hAnsi="Arial" w:cs="Arial"/>
            <w:color w:val="auto"/>
            <w:sz w:val="20"/>
            <w:szCs w:val="20"/>
          </w:rPr>
          <w:t>https://octopusdata.org/</w:t>
        </w:r>
      </w:hyperlink>
      <w:r w:rsidRPr="00A74CD5">
        <w:rPr>
          <w:rStyle w:val="SubtleEmphasis"/>
          <w:rFonts w:ascii="Arial" w:hAnsi="Arial"/>
          <w:i w:val="0"/>
          <w:iCs w:val="0"/>
          <w:color w:val="auto"/>
          <w:sz w:val="20"/>
          <w:szCs w:val="20"/>
        </w:rPr>
        <w:t xml:space="preserve">) </w:t>
      </w:r>
      <w:r w:rsidRPr="00A74CD5">
        <w:rPr>
          <w:rStyle w:val="SubtleEmphasis"/>
          <w:rFonts w:ascii="Arial" w:hAnsi="Arial"/>
          <w:i w:val="0"/>
          <w:iCs w:val="0"/>
          <w:color w:val="auto"/>
          <w:sz w:val="20"/>
          <w:szCs w:val="20"/>
        </w:rPr>
        <w:fldChar w:fldCharType="begin" w:fldLock="1"/>
      </w:r>
      <w:r w:rsidRPr="00A74CD5">
        <w:rPr>
          <w:rStyle w:val="SubtleEmphasis"/>
          <w:rFonts w:ascii="Arial" w:hAnsi="Arial"/>
          <w:i w:val="0"/>
          <w:iCs w:val="0"/>
          <w:color w:val="auto"/>
          <w:sz w:val="20"/>
          <w:szCs w:val="20"/>
        </w:rPr>
        <w:instrText>ADDIN CSL_CITATION {"citationItems":[{"id":"ITEM-1","itemData":{"DOI":"10.5194/essd-14-3695-2022","ISSN":"1866-3516","author":[{"dropping-particle":"","family":"Codilean","given":"Alexandru T","non-dropping-particle":"","parse-names":false,"suffix":""},{"dropping-particle":"","family":"Munack","given":"Henry","non-dropping-particle":"","parse-names":false,"suffix":""},{"dropping-particle":"","family":"Saktura","given":"Wanchese M","non-dropping-particle":"","parse-names":false,"suffix":""},{"dropping-particle":"","family":"Cohen","given":"Tim J","non-dropping-particle":"","parse-names":false,"suffix":""},{"dropping-particle":"","family":"Jacobs","given":"Zenobia","non-dropping-particle":"","parse-names":false,"suffix":""},{"dropping-particle":"","family":"Ulm","given":"Sean","non-dropping-particle":"","parse-names":false,"suffix":""},{"dropping-particle":"","family":"Hesse","given":"Paul P.","non-dropping-particle":"","parse-names":false,"suffix":""},{"dropping-particle":"","family":"Heyman","given":"Jakob","non-dropping-particle":"","parse-names":false,"suffix":""},{"dropping-particle":"","family":"Peters","given":"Katharina J.","non-dropping-particle":"","parse-names":false,"suffix":""},{"dropping-particle":"","family":"Williams","given":"Alan N.","non-dropping-particle":"","parse-names":false,"suffix":""},{"dropping-particle":"","family":"Saktura","given":"Rosaria B. K.","non-dropping-particle":"","parse-names":false,"suffix":""},{"dropping-particle":"","family":"Rui","given":"Xue","non-dropping-particle":"","parse-names":false,"suffix":""},{"dropping-particle":"","family":"Chishiro-Dennelly","given":"Kai","non-dropping-particle":"","parse-names":false,"suffix":""},{"dropping-particle":"","family":"Panta","given":"Adhish","non-dropping-particle":"","parse-names":false,"suffix":""}],"container-title":"Earth System Science Data","id":"ITEM-1","issue":"8","issued":{"date-parts":[["2022","8","16"]]},"page":"3695-3713","title":"OCTOPUS database (v.2)","type":"article-journal","volume":"14"},"uris":["http://www.mendeley.com/documents/?uuid=7c57ef10-d16f-4481-b937-3b9c3c9802dd"]}],"mendeley":{"formattedCitation":"(9)","plainTextFormattedCitation":"(9)","previouslyFormattedCitation":"(9)"},"properties":{"noteIndex":0},"schema":"https://github.com/citation-style-language/schema/raw/master/csl-citation.json"}</w:instrText>
      </w:r>
      <w:r w:rsidRPr="00A74CD5">
        <w:rPr>
          <w:rStyle w:val="SubtleEmphasis"/>
          <w:rFonts w:ascii="Arial" w:hAnsi="Arial"/>
          <w:i w:val="0"/>
          <w:iCs w:val="0"/>
          <w:color w:val="auto"/>
          <w:sz w:val="20"/>
          <w:szCs w:val="20"/>
        </w:rPr>
        <w:fldChar w:fldCharType="separate"/>
      </w:r>
      <w:r w:rsidRPr="00A74CD5">
        <w:rPr>
          <w:rStyle w:val="SubtleEmphasis"/>
          <w:rFonts w:ascii="Arial" w:hAnsi="Arial"/>
          <w:i w:val="0"/>
          <w:iCs w:val="0"/>
          <w:noProof/>
          <w:color w:val="auto"/>
          <w:sz w:val="20"/>
          <w:szCs w:val="20"/>
        </w:rPr>
        <w:t>(9)</w:t>
      </w:r>
      <w:r w:rsidRPr="00A74CD5">
        <w:rPr>
          <w:rStyle w:val="SubtleEmphasis"/>
          <w:rFonts w:ascii="Arial" w:hAnsi="Arial"/>
          <w:i w:val="0"/>
          <w:iCs w:val="0"/>
          <w:color w:val="auto"/>
          <w:sz w:val="20"/>
          <w:szCs w:val="20"/>
        </w:rPr>
        <w:fldChar w:fldCharType="end"/>
      </w:r>
      <w:bookmarkEnd w:id="9"/>
      <w:r w:rsidRPr="00A74CD5">
        <w:rPr>
          <w:rStyle w:val="SubtleEmphasis"/>
          <w:rFonts w:ascii="Arial" w:hAnsi="Arial"/>
          <w:i w:val="0"/>
          <w:iCs w:val="0"/>
          <w:color w:val="auto"/>
          <w:sz w:val="20"/>
          <w:szCs w:val="20"/>
        </w:rPr>
        <w:t>. O</w:t>
      </w:r>
      <w:r w:rsidRPr="00A74CD5">
        <w:rPr>
          <w:rFonts w:ascii="Arial" w:hAnsi="Arial" w:cs="Arial"/>
          <w:sz w:val="20"/>
          <w:szCs w:val="20"/>
        </w:rPr>
        <w:t>ptically Stimulated Luminescence (OSL) and Thermo Luminescence (TL) ages from lacustrine beach and shoreline deposits (lake level indicators) and fluvial (both overbank and channel) deposits w</w:t>
      </w:r>
      <w:r w:rsidRPr="00A74CD5">
        <w:rPr>
          <w:rStyle w:val="SubtleEmphasis"/>
          <w:rFonts w:ascii="Arial" w:hAnsi="Arial"/>
          <w:i w:val="0"/>
          <w:iCs w:val="0"/>
          <w:color w:val="auto"/>
          <w:sz w:val="20"/>
          <w:szCs w:val="20"/>
        </w:rPr>
        <w:t xml:space="preserve">ere compiled and </w:t>
      </w:r>
      <w:r w:rsidR="00A74CD5" w:rsidRPr="00A74CD5">
        <w:rPr>
          <w:rStyle w:val="SubtleEmphasis"/>
          <w:rFonts w:ascii="Arial" w:hAnsi="Arial"/>
          <w:i w:val="0"/>
          <w:iCs w:val="0"/>
          <w:color w:val="auto"/>
          <w:sz w:val="20"/>
          <w:szCs w:val="20"/>
        </w:rPr>
        <w:t>summarized</w:t>
      </w:r>
      <w:r w:rsidRPr="00A74CD5">
        <w:rPr>
          <w:rStyle w:val="SubtleEmphasis"/>
          <w:rFonts w:ascii="Arial" w:hAnsi="Arial"/>
          <w:i w:val="0"/>
          <w:iCs w:val="0"/>
          <w:color w:val="auto"/>
          <w:sz w:val="20"/>
          <w:szCs w:val="20"/>
        </w:rPr>
        <w:t xml:space="preserve"> across Australia’s two major river systems, the Lake Eyre Basin (LEB) and the Murray-Darling Basin (MDB) (Figure S1, S19, S20). A kernel density estimate (KDE) of compiled ages from each facies or geotype was determined for all ages between 30 – 5 ka from both basins. Precipitation and temperature outputs from the iTRACE model were extracted from the grid cells covering the drainage basins for these major drainage systems (Figure S1).</w:t>
      </w:r>
    </w:p>
    <w:p w14:paraId="705EDD42" w14:textId="77777777" w:rsidR="00730E47" w:rsidRPr="00730E47" w:rsidRDefault="00730E47" w:rsidP="00730E47">
      <w:pPr>
        <w:pStyle w:val="Subtitle"/>
        <w:jc w:val="left"/>
        <w:rPr>
          <w:rFonts w:ascii="Arial" w:hAnsi="Arial" w:cs="Arial"/>
          <w:b/>
          <w:bCs/>
          <w:sz w:val="20"/>
          <w:szCs w:val="20"/>
        </w:rPr>
      </w:pPr>
      <w:r w:rsidRPr="00730E47">
        <w:rPr>
          <w:rFonts w:ascii="Arial" w:hAnsi="Arial" w:cs="Arial"/>
          <w:b/>
          <w:bCs/>
          <w:sz w:val="20"/>
          <w:szCs w:val="20"/>
        </w:rPr>
        <w:t>Archaeological data (SahulArch)</w:t>
      </w:r>
    </w:p>
    <w:p w14:paraId="025B1DF9" w14:textId="516B33DC" w:rsidR="00730E47" w:rsidRPr="00730E47" w:rsidRDefault="00730E47" w:rsidP="00730E47">
      <w:pPr>
        <w:spacing w:line="360" w:lineRule="auto"/>
        <w:rPr>
          <w:rFonts w:ascii="Arial" w:hAnsi="Arial" w:cs="Arial"/>
          <w:sz w:val="20"/>
        </w:rPr>
      </w:pPr>
      <w:r w:rsidRPr="00730E47">
        <w:rPr>
          <w:rFonts w:ascii="Arial" w:hAnsi="Arial" w:cs="Arial"/>
          <w:sz w:val="20"/>
        </w:rPr>
        <w:t xml:space="preserve">Archaeological geochronology data was obtained from SahulArch database </w:t>
      </w:r>
      <w:bookmarkStart w:id="10" w:name="_Hlk125037776"/>
      <w:r w:rsidRPr="00730E47">
        <w:rPr>
          <w:rFonts w:ascii="Arial" w:hAnsi="Arial" w:cs="Arial"/>
          <w:sz w:val="20"/>
        </w:rPr>
        <w:t>(Saktura et al. 2023)</w:t>
      </w:r>
      <w:bookmarkEnd w:id="10"/>
      <w:r w:rsidRPr="00730E47">
        <w:rPr>
          <w:rFonts w:ascii="Arial" w:hAnsi="Arial" w:cs="Arial"/>
          <w:sz w:val="20"/>
        </w:rPr>
        <w:t xml:space="preserve">, including radiocarbon </w:t>
      </w:r>
      <w:r w:rsidRPr="00730E47">
        <w:rPr>
          <w:rFonts w:ascii="Arial" w:hAnsi="Arial" w:cs="Arial"/>
          <w:sz w:val="20"/>
        </w:rPr>
        <w:fldChar w:fldCharType="begin" w:fldLock="1"/>
      </w:r>
      <w:r w:rsidRPr="00730E47">
        <w:rPr>
          <w:rFonts w:ascii="Arial" w:hAnsi="Arial" w:cs="Arial"/>
          <w:sz w:val="20"/>
        </w:rPr>
        <w:instrText>ADDIN CSL_CITATION {"citationItems":[{"id":"ITEM-1","itemData":{"DOI":"10.25900/2mb4-rr36","author":[{"dropping-particle":"","family":"Saktura","given":"Wanchese M.","non-dropping-particle":"","parse-names":false,"suffix":""},{"dropping-particle":"","family":"Munack","given":"Henry","non-dropping-particle":"","parse-names":false,"suffix":""},{"dropping-particle":"","family":"Codilean","given":"Alexandru T.","non-dropping-particle":"","parse-names":false,"suffix":""},{"dropping-particle":"","family":"Wood","given":"Rachel","non-dropping-particle":"","parse-names":false,"suffix":""},{"dropping-particle":"","family":"Petchey","given":"Fiona","non-dropping-particle":"","parse-names":false,"suffix":""},{"dropping-particle":"","family":"Jacobs","given":"Zenobia","non-dropping-particle":"","parse-names":false,"suffix":""},{"dropping-particle":"","family":"Williams","given":"Alan","non-dropping-particle":"","parse-names":false,"suffix":""},{"dropping-particle":"","family":"Ulm","given":"Sean","non-dropping-particle":"","parse-names":false,"suffix":""}],"id":"ITEM-1","issued":{"date-parts":[["2021"]]},"title":"OCTOPUS Database v.2: The SahulArch Radiocarbon collection. Sahul-wide database of published archaeological records with radiometric ages","type":"article"},"uris":["http://www.mendeley.com/documents/?uuid=496bd4a4-afc7-4829-b9e6-570aba0eeb67"]}],"mendeley":{"formattedCitation":"(10)","plainTextFormattedCitation":"(10)","previouslyFormattedCitation":"(10)"},"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(10)</w:t>
      </w:r>
      <w:r w:rsidRPr="00730E47">
        <w:rPr>
          <w:rFonts w:ascii="Arial" w:hAnsi="Arial" w:cs="Arial"/>
          <w:sz w:val="20"/>
        </w:rPr>
        <w:fldChar w:fldCharType="end"/>
      </w:r>
      <w:r w:rsidRPr="00730E47">
        <w:rPr>
          <w:rFonts w:ascii="Arial" w:hAnsi="Arial" w:cs="Arial"/>
          <w:sz w:val="20"/>
        </w:rPr>
        <w:t xml:space="preserve">, OSL, and TL collections </w:t>
      </w:r>
      <w:r w:rsidRPr="00730E47">
        <w:rPr>
          <w:rFonts w:ascii="Arial" w:hAnsi="Arial" w:cs="Arial"/>
          <w:sz w:val="20"/>
        </w:rPr>
        <w:fldChar w:fldCharType="begin" w:fldLock="1"/>
      </w:r>
      <w:r w:rsidRPr="00730E47">
        <w:rPr>
          <w:rFonts w:ascii="Arial" w:hAnsi="Arial" w:cs="Arial"/>
          <w:sz w:val="20"/>
        </w:rPr>
        <w:instrText>ADDIN CSL_CITATION {"citationItems":[{"id":"ITEM-1","itemData":{"DOI":"10.1080/03122417.2022.2159751","ISSN":"0312-2417","author":[{"dropping-particle":"","family":"Saktura","given":"Wanchese M.","non-dropping-particle":"","parse-names":false,"suffix":""},{"dropping-particle":"","family":"Rehn","given":"Emma","non-dropping-particle":"","parse-names":false,"suffix":""},{"dropping-particle":"","family":"Linnenlucke","given":"Lauren","non-dropping-particle":"","parse-names":false,"suffix":""},{"dropping-particle":"","family":"Munack","given":"Henry","non-dropping-particle":"","parse-names":false,"suffix":""},{"dropping-particle":"","family":"Wood","given":"Rachel","non-dropping-particle":"","parse-names":false,"suffix":""},{"dropping-particle":"","family":"Petchey","given":"Fiona","non-dropping-particle":"","parse-names":false,"suffix":""},{"dropping-particle":"","family":"Codilean","given":"Alexandru T.","non-dropping-particle":"","parse-names":false,"suffix":""},{"dropping-particle":"","family":"Jacobs","given":"Zenobia","non-dropping-particle":"","parse-names":false,"suffix":""},{"dropping-particle":"","family":"Cohen","given":"Tim J.","non-dropping-particle":"","parse-names":false,"suffix":""},{"dropping-particle":"","family":"Williams","given":"Alan N.","non-dropping-particle":"","parse-names":false,"suffix":""},{"dropping-particle":"","family":"Ulm","given":"Sean","non-dropping-particle":"","parse-names":false,"suffix":""}],"container-title":"Australian Archaeology","id":"ITEM-1","issued":{"date-parts":[["2023","2","10"]]},"page":"1-13","title":"SahulArch: A geochronological database for the archaeology of Sahul","type":"article-journal"},"uris":["http://www.mendeley.com/documents/?uuid=1c1c7ee2-651e-4c23-bd3b-ea6e262629a9"]}],"mendeley":{"formattedCitation":"(11)","plainTextFormattedCitation":"(11)","previouslyFormattedCitation":"(11)"},"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(11)</w:t>
      </w:r>
      <w:r w:rsidRPr="00730E47">
        <w:rPr>
          <w:rFonts w:ascii="Arial" w:hAnsi="Arial" w:cs="Arial"/>
          <w:sz w:val="20"/>
        </w:rPr>
        <w:fldChar w:fldCharType="end"/>
      </w:r>
      <w:r w:rsidRPr="00730E47">
        <w:rPr>
          <w:rFonts w:ascii="Arial" w:hAnsi="Arial" w:cs="Arial"/>
          <w:sz w:val="20"/>
        </w:rPr>
        <w:t xml:space="preserve"> which are accessible through the OCTOPUS v.2 (</w:t>
      </w:r>
      <w:hyperlink r:id="rId10" w:history="1">
        <w:r w:rsidRPr="00730E47">
          <w:rPr>
            <w:rStyle w:val="Hyperlink"/>
            <w:rFonts w:ascii="Arial" w:hAnsi="Arial" w:cs="Arial"/>
            <w:sz w:val="20"/>
          </w:rPr>
          <w:t>https://octopusdata.org/</w:t>
        </w:r>
      </w:hyperlink>
      <w:r w:rsidRPr="00730E47">
        <w:rPr>
          <w:rStyle w:val="Hyperlink"/>
          <w:rFonts w:ascii="Arial" w:hAnsi="Arial" w:cs="Arial"/>
          <w:sz w:val="20"/>
        </w:rPr>
        <w:t>;</w:t>
      </w:r>
      <w:r w:rsidRPr="00730E47">
        <w:rPr>
          <w:rFonts w:ascii="Arial" w:hAnsi="Arial" w:cs="Arial"/>
          <w:sz w:val="20"/>
        </w:rPr>
        <w:t xml:space="preserve"> </w:t>
      </w:r>
      <w:r w:rsidRPr="00730E47">
        <w:rPr>
          <w:rFonts w:ascii="Arial" w:hAnsi="Arial" w:cs="Arial"/>
          <w:sz w:val="20"/>
        </w:rPr>
        <w:fldChar w:fldCharType="begin" w:fldLock="1"/>
      </w:r>
      <w:r w:rsidRPr="00730E47">
        <w:rPr>
          <w:rFonts w:ascii="Arial" w:hAnsi="Arial" w:cs="Arial"/>
          <w:sz w:val="20"/>
        </w:rPr>
        <w:instrText>ADDIN CSL_CITATION {"citationItems":[{"id":"ITEM-1","itemData":{"DOI":"10.5194/essd-14-3695-2022","ISSN":"1866-3516","author":[{"dropping-particle":"","family":"Codilean","given":"Alexandru T","non-dropping-particle":"","parse-names":false,"suffix":""},{"dropping-particle":"","family":"Munack","given":"Henry","non-dropping-particle":"","parse-names":false,"suffix":""},{"dropping-particle":"","family":"Saktura","given":"Wanchese M","non-dropping-particle":"","parse-names":false,"suffix":""},{"dropping-particle":"","family":"Cohen","given":"Tim J","non-dropping-particle":"","parse-names":false,"suffix":""},{"dropping-particle":"","family":"Jacobs","given":"Zenobia","non-dropping-particle":"","parse-names":false,"suffix":""},{"dropping-particle":"","family":"Ulm","given":"Sean","non-dropping-particle":"","parse-names":false,"suffix":""},{"dropping-particle":"","family":"Hesse","given":"Paul P.","non-dropping-particle":"","parse-names":false,"suffix":""},{"dropping-particle":"","family":"Heyman","given":"Jakob","non-dropping-particle":"","parse-names":false,"suffix":""},{"dropping-particle":"","family":"Peters","given":"Katharina J.","non-dropping-particle":"","parse-names":false,"suffix":""},{"dropping-particle":"","family":"Williams","given":"Alan N.","non-dropping-particle":"","parse-names":false,"suffix":""},{"dropping-particle":"","family":"Saktura","given":"Rosaria B. K.","non-dropping-particle":"","parse-names":false,"suffix":""},{"dropping-particle":"","family":"Rui","given":"Xue","non-dropping-particle":"","parse-names":false,"suffix":""},{"dropping-particle":"","family":"Chishiro-Dennelly","given":"Kai","non-dropping-particle":"","parse-names":false,"suffix":""},{"dropping-particle":"","family":"Panta","given":"Adhish","non-dropping-particle":"","parse-names":false,"suffix":""}],"container-title":"Earth System Science Data","id":"ITEM-1","issue":"8","issued":{"date-parts":[["2022","8","16"]]},"page":"3695-3713","title":"OCTOPUS database (v.2)","type":"article-journal","volume":"14"},"uris":["http://www.mendeley.com/documents/?uuid=7c57ef10-d16f-4481-b937-3b9c3c9802dd"]}],"mendeley":{"formattedCitation":"(9)","manualFormatting":"9)","plainTextFormattedCitation":"(9)","previouslyFormattedCitation":"(9)"},"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9)</w:t>
      </w:r>
      <w:r w:rsidRPr="00730E47">
        <w:rPr>
          <w:rFonts w:ascii="Arial" w:hAnsi="Arial" w:cs="Arial"/>
          <w:sz w:val="20"/>
        </w:rPr>
        <w:fldChar w:fldCharType="end"/>
      </w:r>
      <w:r w:rsidRPr="00730E47">
        <w:rPr>
          <w:rFonts w:ascii="Arial" w:hAnsi="Arial" w:cs="Arial"/>
          <w:sz w:val="20"/>
        </w:rPr>
        <w:t>. Data used in this study were screened for region of relevance (Australia only), age range of interest (</w:t>
      </w:r>
      <w:r w:rsidRPr="00730E47">
        <w:rPr>
          <w:rFonts w:ascii="Arial" w:hAnsi="Arial" w:cs="Arial"/>
          <w:sz w:val="20"/>
          <w:vertAlign w:val="superscript"/>
        </w:rPr>
        <w:t>14</w:t>
      </w:r>
      <w:r w:rsidRPr="00730E47">
        <w:rPr>
          <w:rFonts w:ascii="Arial" w:hAnsi="Arial" w:cs="Arial"/>
          <w:sz w:val="20"/>
        </w:rPr>
        <w:t xml:space="preserve">C = 8 – 22 ka, OSL and TL = 8 – 22 ka), appropriate associations with archaeological deposit (CONTEXT ≠ ‘Sterile’, OCCUPATION = ‘No’ + CONTEXT ≠ ‘Occupation’), replicate and superseded analyses, indications of possible contamination and general author commentary where issues with reliability of an age was raised by author (Figure S21). Radiocarbon ages were then calibrated using the Southern Hemisphere calibration curve, SHCal20 </w:t>
      </w:r>
      <w:r w:rsidRPr="00730E47">
        <w:rPr>
          <w:rFonts w:ascii="Arial" w:hAnsi="Arial" w:cs="Arial"/>
          <w:sz w:val="20"/>
        </w:rPr>
        <w:fldChar w:fldCharType="begin" w:fldLock="1"/>
      </w:r>
      <w:r w:rsidRPr="00730E47">
        <w:rPr>
          <w:rFonts w:ascii="Arial" w:hAnsi="Arial" w:cs="Arial"/>
          <w:sz w:val="20"/>
        </w:rPr>
        <w:instrText>ADDIN CSL_CITATION {"citationItems":[{"id":"ITEM-1","itemData":{"DOI":"10.1017/RDC.2020.59","ISSN":"0033-8222","abstract":"Early researchers of radiocarbon levels in Southern Hemisphere tree rings identified a variable North-South hemispheric offset, necessitating construction of a separate radiocarbon calibration curve for the South. We present here SHCal20, a revised calibration curve from 0–55,000 cal BP, based upon SHCal13 and fortified by the addition of 14 new tree-ring data sets in the 2140–0, 3520–3453, 3608–3590 and 13,140–11,375 cal BP time intervals. We detail the statistical approaches used for curve construction and present recommendations for the use of the Northern Hemisphere curve (IntCal20), the Southern Hemisphere curve (SHCal20) and suggest where application of an equal mixture of the curves might be more appropriate. Using our Bayesian spline with errors-in-variables methodology, and based upon a comparison of Southern Hemisphere tree-ring data compared with contemporaneous Northern Hemisphere data, we estimate the mean Southern Hemisphere offset to be 36 ± 27 14 C yrs older.","author":[{"dropping-particle":"","family":"Hogg","given":"Alan G","non-dropping-particle":"","parse-names":false,"suffix":""},{"dropping-particle":"","family":"Heaton","given":"Timothy J","non-dropping-particle":"","parse-names":false,"suffix":""},{"dropping-particle":"","family":"Hua","given":"Quan","non-dropping-particle":"","parse-names":false,"suffix":""},{"dropping-particle":"","family":"Palmer","given":"Jonathan G","non-dropping-particle":"","parse-names":false,"suffix":""},{"dropping-particle":"","family":"Turney","given":"Chris SM","non-dropping-particle":"","parse-names":false,"suffix":""},{"dropping-particle":"","family":"Southon","given":"John","non-dropping-particle":"","parse-names":false,"suffix":""},{"dropping-particle":"","family":"Bayliss","given":"Alex","non-dropping-particle":"","parse-names":false,"suffix":""},{"dropping-particle":"","family":"Blackwell","given":"Paul G","non-dropping-particle":"","parse-names":false,"suffix":""},{"dropping-particle":"","family":"Boswijk","given":"Gretel","non-dropping-particle":"","parse-names":false,"suffix":""},{"dropping-particle":"","family":"Bronk Ramsey","given":"Christopher","non-dropping-particle":"","parse-names":false,"suffix":""},{"dropping-particle":"","family":"Pearson","given":"Charlotte","non-dropping-particle":"","parse-names":false,"suffix":""},{"dropping-particle":"","family":"Petchey","given":"Fiona","non-dropping-particle":"","parse-names":false,"suffix":""},{"dropping-particle":"","family":"Reimer","given":"Paula","non-dropping-particle":"","parse-names":false,"suffix":""},{"dropping-particle":"","family":"Reimer","given":"Ron","non-dropping-particle":"","parse-names":false,"suffix":""},{"dropping-particle":"","family":"Wacker","given":"Lukas","non-dropping-particle":"","parse-names":false,"suffix":""}],"container-title":"Radiocarbon","id":"ITEM-1","issue":"4","issued":{"date-parts":[["2020","8","12"]]},"page":"759-778","title":"SHCal20 Southern Hemisphere Calibration, 0–55,000 Years cal BP","type":"article-journal","volume":"62"},"uris":["http://www.mendeley.com/documents/?uuid=cdf7fc9a-e0ab-4583-8836-f62847393ac5"]}],"mendeley":{"formattedCitation":"(12)","plainTextFormattedCitation":"(12)","previouslyFormattedCitation":"(12)"},"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(12)</w:t>
      </w:r>
      <w:r w:rsidRPr="00730E47">
        <w:rPr>
          <w:rFonts w:ascii="Arial" w:hAnsi="Arial" w:cs="Arial"/>
          <w:sz w:val="20"/>
        </w:rPr>
        <w:fldChar w:fldCharType="end"/>
      </w:r>
      <w:r w:rsidRPr="00730E47">
        <w:rPr>
          <w:rFonts w:ascii="Arial" w:hAnsi="Arial" w:cs="Arial"/>
          <w:sz w:val="20"/>
        </w:rPr>
        <w:t xml:space="preserve">, for terrestrial material and the marine calibration curve, Marine20 </w:t>
      </w:r>
      <w:r w:rsidRPr="00730E47">
        <w:rPr>
          <w:rFonts w:ascii="Arial" w:hAnsi="Arial" w:cs="Arial"/>
          <w:sz w:val="20"/>
        </w:rPr>
        <w:fldChar w:fldCharType="begin" w:fldLock="1"/>
      </w:r>
      <w:r w:rsidRPr="00730E47">
        <w:rPr>
          <w:rFonts w:ascii="Arial" w:hAnsi="Arial" w:cs="Arial"/>
          <w:sz w:val="20"/>
        </w:rPr>
        <w:instrText>ADDIN CSL_CITATION {"citationItems":[{"id":"ITEM-1","itemData":{"DOI":"10.1017/rdc.2020.68","ISSN":"0033-8222","abstract":" The concentration of radiocarbon ( 14 C) differs between ocean and atmosphere. Radiocarbon determinations from samples which obtained their 14 C in the marine environment therefore need a marine-specific calibration curve and cannot be calibrated directly against the atmospheric-based IntCal20 curve. This paper presents Marine20, an update to the internationally agreed marine radiocarbon age calibration curve that provides a non-polar global-average marine record of radiocarbon from 0–55 cal kBP and serves as a baseline for regional oceanic variation. Marine20 is intended for calibration of marine radiocarbon samples from non-polar regions; it is not suitable for calibration in polar regions where variability in sea ice extent, ocean upwelling and air-sea gas exchange may have caused larger changes to concentrations of marine radiocarbon. The Marine20 curve is based upon 500 simulations with an ocean/atmosphere/biosphere box-model of the global carbon cycle that has been forced by posterior realizations of our Northern Hemispheric atmospheric IntCal20 14 C curve and reconstructed changes in CO 2 obtained from ice core data. These forcings enable us to incorporate carbon cycle dynamics and temporal changes in the atmospheric 14 C level. The box-model simulations of the global-average marine radiocarbon reservoir age are similar to those of a more complex three-dimensional ocean general circulation model. However, simplicity and speed of the box model allow us to use a Monte Carlo approach to rigorously propagate the uncertainty in both the historic concentration of atmospheric 14 C and other key parameters of the carbon cycle through to our final Marine20 calibration curve. This robust propagation of uncertainty is fundamental to providing reliable precision for the radiocarbon age calibration of marine based samples. We make a first step towards deconvolving the contributions of different processes to the total uncertainty; discuss the main differences of Marine20 from the previous age calibration curve Marine13; and identify the limitations of our approach together with key areas for further work. The updated values for ΔR , the regional marine radiocarbon reservoir age corrections required to calibrate against Marine20, can be found at the data base http://calib.org/marine/ . ","author":[{"dropping-particle":"","family":"Heaton","given":"Timothy J","non-dropping-particle":"","parse-names":false,"suffix":""},{"dropping-particle":"","family":"Köhler","given":"Peter","non-dropping-particle":"","parse-names":false,"suffix":""},{"dropping-particle":"","family":"Butzin","given":"Martin","non-dropping-particle":"","parse-names":false,"suffix":""},{"dropping-particle":"","family":"Bard","given":"Edouard","non-dropping-particle":"","parse-names":false,"suffix":""},{"dropping-particle":"","family":"Reimer","given":"Ron W","non-dropping-particle":"","parse-names":false,"suffix":""},{"dropping-particle":"","family":"Austin","given":"William E N","non-dropping-particle":"","parse-names":false,"suffix":""},{"dropping-particle":"","family":"Bronk Ramsey","given":"Christopher","non-dropping-particle":"","parse-names":false,"suffix":""},{"dropping-particle":"","family":"Grootes","given":"Pieter M","non-dropping-particle":"","parse-names":false,"suffix":""},{"dropping-particle":"","family":"Hughen","given":"Konrad A","non-dropping-particle":"","parse-names":false,"suffix":""},{"dropping-particle":"","family":"Kromer","given":"Bernd","non-dropping-particle":"","parse-names":false,"suffix":""},{"dropping-particle":"","family":"Reimer","given":"Paula J","non-dropping-particle":"","parse-names":false,"suffix":""},{"dropping-particle":"","family":"Adkins","given":"Jess","non-dropping-particle":"","parse-names":false,"suffix":""},{"dropping-particle":"","family":"Burke","given":"Andrea","non-dropping-particle":"","parse-names":false,"suffix":""},{"dropping-particle":"","family":"Cook","given":"Mea S","non-dropping-particle":"","parse-names":false,"suffix":""},{"dropping-particle":"","family":"Olsen","given":"Jesper","non-dropping-particle":"","parse-names":false,"suffix":""},{"dropping-particle":"","family":"Skinner","given":"Luke C","non-dropping-particle":"","parse-names":false,"suffix":""}],"container-title":"Radiocarbon","id":"ITEM-1","issue":"4","issued":{"date-parts":[["2020"]]},"page":"779-820","title":"Marine20—The Marine Radiocarbon Age Calibration Curve (0–55,000 cal BP)","type":"article-journal","volume":"62"},"uris":["http://www.mendeley.com/documents/?uuid=edec15e5-8ab9-4c3e-aeb3-dc86292563de"]}],"mendeley":{"formattedCitation":"(13)","plainTextFormattedCitation":"(13)","previouslyFormattedCitation":"(13)"},"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(13)</w:t>
      </w:r>
      <w:r w:rsidRPr="00730E47">
        <w:rPr>
          <w:rFonts w:ascii="Arial" w:hAnsi="Arial" w:cs="Arial"/>
          <w:sz w:val="20"/>
        </w:rPr>
        <w:fldChar w:fldCharType="end"/>
      </w:r>
      <w:r w:rsidRPr="00730E47">
        <w:rPr>
          <w:rFonts w:ascii="Arial" w:hAnsi="Arial" w:cs="Arial"/>
          <w:sz w:val="20"/>
        </w:rPr>
        <w:t xml:space="preserve"> for material from marine sources. Calibrated probability densities were extracted for each </w:t>
      </w:r>
      <w:r w:rsidRPr="00730E47">
        <w:rPr>
          <w:rFonts w:ascii="Arial" w:hAnsi="Arial" w:cs="Arial"/>
          <w:sz w:val="20"/>
          <w:vertAlign w:val="superscript"/>
        </w:rPr>
        <w:t>14</w:t>
      </w:r>
      <w:r w:rsidRPr="00730E47">
        <w:rPr>
          <w:rFonts w:ascii="Arial" w:hAnsi="Arial" w:cs="Arial"/>
          <w:sz w:val="20"/>
        </w:rPr>
        <w:t>C age and included in Gaussian KDE analysis. The archaeological data that satisfied the above criteria included 1,254 observations (</w:t>
      </w:r>
      <w:r w:rsidRPr="00730E47">
        <w:rPr>
          <w:rFonts w:ascii="Arial" w:hAnsi="Arial" w:cs="Arial"/>
          <w:sz w:val="20"/>
          <w:vertAlign w:val="superscript"/>
        </w:rPr>
        <w:t>14</w:t>
      </w:r>
      <w:r w:rsidRPr="00730E47">
        <w:rPr>
          <w:rFonts w:ascii="Arial" w:hAnsi="Arial" w:cs="Arial"/>
          <w:sz w:val="20"/>
        </w:rPr>
        <w:t xml:space="preserve">C = 1045 (inc. 72 marine ages), OSL = 175, TL = 34). Probability of age occurrence from </w:t>
      </w:r>
      <w:r w:rsidRPr="00730E47">
        <w:rPr>
          <w:rFonts w:ascii="Arial" w:hAnsi="Arial" w:cs="Arial"/>
          <w:sz w:val="20"/>
          <w:vertAlign w:val="superscript"/>
        </w:rPr>
        <w:t>14</w:t>
      </w:r>
      <w:r w:rsidRPr="00730E47">
        <w:rPr>
          <w:rFonts w:ascii="Arial" w:hAnsi="Arial" w:cs="Arial"/>
          <w:sz w:val="20"/>
        </w:rPr>
        <w:t>C calibrated distribution or OSL and TL age ± error normal distribution was determined every 20 years from 8.68 to 26.34 ka. Age estimates that had a probability &gt; 0.0</w:t>
      </w:r>
      <w:r w:rsidR="00DE2D31">
        <w:rPr>
          <w:rFonts w:ascii="Arial" w:hAnsi="Arial" w:cs="Arial"/>
          <w:sz w:val="20"/>
        </w:rPr>
        <w:t>1</w:t>
      </w:r>
      <w:r w:rsidRPr="00730E47">
        <w:rPr>
          <w:rFonts w:ascii="Arial" w:hAnsi="Arial" w:cs="Arial"/>
          <w:sz w:val="20"/>
        </w:rPr>
        <w:t xml:space="preserve"> of occurrence at the time of the iTRACE output times (11 ka, 12.5 ka, 13.5 ka, 14 ka, 16 ka, 18 ka and 20 ka, ± 200 years) are shown on output maps (Figure S8 – S14). </w:t>
      </w:r>
    </w:p>
    <w:p w14:paraId="7C9989A2" w14:textId="5326F521" w:rsidR="00730E47" w:rsidRDefault="00730E47" w:rsidP="00730E47">
      <w:pPr>
        <w:spacing w:line="360" w:lineRule="auto"/>
        <w:rPr>
          <w:rFonts w:ascii="Arial" w:hAnsi="Arial" w:cs="Arial"/>
          <w:sz w:val="20"/>
        </w:rPr>
      </w:pPr>
      <w:r w:rsidRPr="00730E47">
        <w:rPr>
          <w:rFonts w:ascii="Arial" w:hAnsi="Arial" w:cs="Arial"/>
          <w:sz w:val="20"/>
        </w:rPr>
        <w:t xml:space="preserve">A Gaussian KDE calculation with a Monte Carlo method was applied to calibrated </w:t>
      </w:r>
      <w:r w:rsidRPr="00730E47">
        <w:rPr>
          <w:rFonts w:ascii="Arial" w:hAnsi="Arial" w:cs="Arial"/>
          <w:sz w:val="20"/>
          <w:vertAlign w:val="superscript"/>
        </w:rPr>
        <w:t>14</w:t>
      </w:r>
      <w:r w:rsidRPr="00730E47">
        <w:rPr>
          <w:rFonts w:ascii="Arial" w:hAnsi="Arial" w:cs="Arial"/>
          <w:sz w:val="20"/>
        </w:rPr>
        <w:t xml:space="preserve">C, OSL and TL ages. The KDE bandwidth was set to 30 with 1000 random iterations. Densities were calculated at 1024 points in time. KDEs, summed probabilities and spatial mapping were conducted using modified code from McLaughlin </w:t>
      </w:r>
      <w:r w:rsidRPr="00730E47">
        <w:rPr>
          <w:rFonts w:ascii="Arial" w:hAnsi="Arial" w:cs="Arial"/>
          <w:sz w:val="20"/>
        </w:rPr>
        <w:fldChar w:fldCharType="begin" w:fldLock="1"/>
      </w:r>
      <w:r w:rsidRPr="00730E47">
        <w:rPr>
          <w:rFonts w:ascii="Arial" w:hAnsi="Arial" w:cs="Arial"/>
          <w:sz w:val="20"/>
        </w:rPr>
        <w:instrText>ADDIN CSL_CITATION {"citationItems":[{"id":"ITEM-1","itemData":{"DOI":"10.1007/s10816-018-9381-3","ISSN":"15737764","abstract":"In archaeology, the meta-analysis of scientific dating information plays an ever-increasing role. A common thread among many recent studies contributing to this has been the development of bespoke software for summarizing and synthesizing data, identifying significant patterns therein. These are reviewed in this paper, which also contains open-source scripts for calibrating radiocarbon dates and modelling them in space and time, using the R computer language and GRASS GIS. The case studies that undertake new analysis of archaeological data are (1) the spread of the Neolithic in Europe, (2) economic consequences of the Great Famine and Black Death in the fourteenth century Britain and Ireland and (3) the role of climate change in influencing cultural change in the Late Bronze Age/Early Iron Age Ireland. These case studies exemplify an emerging trend in archaeology, which is quickly re-defining itself as a data-driven discipline at the intersection of science and the humanities.","author":[{"dropping-particle":"","family":"McLaughlin","given":"T. Rowan","non-dropping-particle":"","parse-names":false,"suffix":""}],"container-title":"Journal of Archaeological Method and Theory","id":"ITEM-1","issue":"2","issued":{"date-parts":[["2019"]]},"page":"479-501","publisher":"Journal of Archaeological Method and Theory","title":"On Applications of Space–Time Modelling with Open-Source 14 C Age Calibration","type":"article-journal","volume":"26"},"uris":["http://www.mendeley.com/documents/?uuid=602c9526-2fcb-41e7-a847-f276b55feb24"]}],"mendeley":{"formattedCitation":"(14)","plainTextFormattedCitation":"(14)","previouslyFormattedCitation":"(14)"},"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(14)</w:t>
      </w:r>
      <w:r w:rsidRPr="00730E47">
        <w:rPr>
          <w:rFonts w:ascii="Arial" w:hAnsi="Arial" w:cs="Arial"/>
          <w:sz w:val="20"/>
        </w:rPr>
        <w:fldChar w:fldCharType="end"/>
      </w:r>
      <w:r w:rsidRPr="00730E47">
        <w:rPr>
          <w:rFonts w:ascii="Arial" w:hAnsi="Arial" w:cs="Arial"/>
          <w:sz w:val="20"/>
        </w:rPr>
        <w:t xml:space="preserve"> in R </w:t>
      </w:r>
      <w:r w:rsidRPr="00730E47">
        <w:rPr>
          <w:rFonts w:ascii="Arial" w:hAnsi="Arial" w:cs="Arial"/>
          <w:sz w:val="20"/>
        </w:rPr>
        <w:fldChar w:fldCharType="begin" w:fldLock="1"/>
      </w:r>
      <w:r w:rsidRPr="00730E47">
        <w:rPr>
          <w:rFonts w:ascii="Arial" w:hAnsi="Arial" w:cs="Arial"/>
          <w:sz w:val="20"/>
        </w:rPr>
        <w:instrText>ADDIN CSL_CITATION {"citationItems":[{"id":"ITEM-1","itemData":{"DOI":"http://www.R-project.org/","ISBN":"3900051070","ISSN":"16000706","PMID":"1505","abstract":"R Development Core Team (2011). R: A language and environment for statistical computing. R Foundation for Statistical Computing, Vienna, Austria. ISBN 3-900051-07-0, URL http://www.R-project.org/.","author":[{"dropping-particle":"","family":"R Core Team","given":"","non-dropping-particle":"","parse-names":false,"suffix":""}],"container-title":"R Foundation for Statistical Computing, Vienna, Austria","id":"ITEM-1","issued":{"date-parts":[["2017"]]},"page":"{ISBN} 3-900051-07-0","title":"R: A Language and Environment for Statistical Computing","type":"article","volume":"0"},"uris":["http://www.mendeley.com/documents/?uuid=f740998c-2c63-4c2b-9a94-79f3754294d0"]}],"mendeley":{"formattedCitation":"(15)","plainTextFormattedCitation":"(15)","previouslyFormattedCitation":"(15)"},"properties":{"noteIndex":0},"schema":"https://github.com/citation-style-language/schema/raw/master/csl-citation.json"}</w:instrText>
      </w:r>
      <w:r w:rsidRPr="00730E47">
        <w:rPr>
          <w:rFonts w:ascii="Arial" w:hAnsi="Arial" w:cs="Arial"/>
          <w:sz w:val="20"/>
        </w:rPr>
        <w:fldChar w:fldCharType="separate"/>
      </w:r>
      <w:r w:rsidRPr="00730E47">
        <w:rPr>
          <w:rFonts w:ascii="Arial" w:hAnsi="Arial" w:cs="Arial"/>
          <w:noProof/>
          <w:sz w:val="20"/>
        </w:rPr>
        <w:t>(15)</w:t>
      </w:r>
      <w:r w:rsidRPr="00730E47">
        <w:rPr>
          <w:rFonts w:ascii="Arial" w:hAnsi="Arial" w:cs="Arial"/>
          <w:sz w:val="20"/>
        </w:rPr>
        <w:fldChar w:fldCharType="end"/>
      </w:r>
      <w:r w:rsidRPr="00730E47">
        <w:rPr>
          <w:rFonts w:ascii="Arial" w:hAnsi="Arial" w:cs="Arial"/>
          <w:sz w:val="20"/>
        </w:rPr>
        <w:t>.</w:t>
      </w:r>
    </w:p>
    <w:p w14:paraId="1896DD2A" w14:textId="77777777" w:rsidR="00730E47" w:rsidRDefault="00730E47" w:rsidP="00730E47">
      <w:pPr>
        <w:spacing w:line="360" w:lineRule="auto"/>
        <w:rPr>
          <w:rFonts w:ascii="Arial" w:hAnsi="Arial" w:cs="Arial"/>
          <w:sz w:val="20"/>
        </w:rPr>
      </w:pPr>
    </w:p>
    <w:p w14:paraId="3C8137DC" w14:textId="14EE9B96" w:rsidR="00730E47" w:rsidRPr="00730E47" w:rsidRDefault="00730E47" w:rsidP="00730E47">
      <w:pPr>
        <w:spacing w:line="360" w:lineRule="auto"/>
        <w:rPr>
          <w:rFonts w:ascii="Arial" w:hAnsi="Arial" w:cs="Arial"/>
          <w:b/>
          <w:bCs/>
          <w:sz w:val="20"/>
        </w:rPr>
      </w:pPr>
      <w:r w:rsidRPr="00730E47">
        <w:rPr>
          <w:rFonts w:ascii="Arial" w:hAnsi="Arial" w:cs="Arial"/>
          <w:b/>
          <w:bCs/>
          <w:sz w:val="20"/>
        </w:rPr>
        <w:t>Results</w:t>
      </w:r>
    </w:p>
    <w:p w14:paraId="29420431" w14:textId="77777777" w:rsidR="00730E47" w:rsidRPr="00730E47" w:rsidRDefault="00730E47" w:rsidP="00730E47">
      <w:pPr>
        <w:pStyle w:val="Subtitle"/>
        <w:jc w:val="left"/>
        <w:rPr>
          <w:rFonts w:ascii="Arial" w:hAnsi="Arial" w:cs="Arial"/>
          <w:b/>
          <w:bCs/>
          <w:sz w:val="20"/>
          <w:szCs w:val="20"/>
        </w:rPr>
      </w:pPr>
      <w:r w:rsidRPr="00730E47">
        <w:rPr>
          <w:rFonts w:ascii="Arial" w:hAnsi="Arial" w:cs="Arial"/>
          <w:b/>
          <w:bCs/>
          <w:sz w:val="20"/>
          <w:szCs w:val="20"/>
        </w:rPr>
        <w:t xml:space="preserve">Comparison of the iTRACE and palaeoclimatic proxies </w:t>
      </w:r>
    </w:p>
    <w:p w14:paraId="1098FEE2" w14:textId="77777777" w:rsidR="00575043" w:rsidRDefault="00730E47" w:rsidP="00730E47">
      <w:pPr>
        <w:pStyle w:val="Papertext"/>
        <w:rPr>
          <w:rFonts w:ascii="Arial" w:hAnsi="Arial" w:cs="Arial"/>
          <w:sz w:val="20"/>
          <w:szCs w:val="20"/>
        </w:rPr>
      </w:pPr>
      <w:r w:rsidRPr="00730E47">
        <w:rPr>
          <w:rFonts w:ascii="Arial" w:hAnsi="Arial" w:cs="Arial"/>
          <w:sz w:val="20"/>
          <w:szCs w:val="20"/>
        </w:rPr>
        <w:t xml:space="preserve">The location of all proxy records, continuous lacustrine palaeoenvironmental records, OSL, TL and </w:t>
      </w:r>
      <w:r w:rsidRPr="00730E47">
        <w:rPr>
          <w:rFonts w:ascii="Arial" w:hAnsi="Arial" w:cs="Arial"/>
          <w:sz w:val="20"/>
          <w:szCs w:val="20"/>
          <w:vertAlign w:val="superscript"/>
        </w:rPr>
        <w:t>14</w:t>
      </w:r>
      <w:r w:rsidRPr="00730E47">
        <w:rPr>
          <w:rFonts w:ascii="Arial" w:hAnsi="Arial" w:cs="Arial"/>
          <w:sz w:val="20"/>
          <w:szCs w:val="20"/>
        </w:rPr>
        <w:t xml:space="preserve">C ages from fluvial archives and speleothem records are shown in Figure S1. The Lake Eyre and Murray-Darling drainage basins are also shown </w:t>
      </w:r>
      <w:r w:rsidR="00575043">
        <w:rPr>
          <w:rFonts w:ascii="Arial" w:hAnsi="Arial" w:cs="Arial"/>
          <w:sz w:val="20"/>
          <w:szCs w:val="20"/>
        </w:rPr>
        <w:t>in</w:t>
      </w:r>
      <w:r w:rsidRPr="00730E47">
        <w:rPr>
          <w:rFonts w:ascii="Arial" w:hAnsi="Arial" w:cs="Arial"/>
          <w:sz w:val="20"/>
          <w:szCs w:val="20"/>
        </w:rPr>
        <w:t xml:space="preserve"> Figure S1. </w:t>
      </w:r>
    </w:p>
    <w:p w14:paraId="64A78B6A" w14:textId="43FE5F40" w:rsidR="00730E47" w:rsidRPr="00730E47" w:rsidRDefault="00730E47" w:rsidP="00730E47">
      <w:pPr>
        <w:pStyle w:val="Papertext"/>
        <w:rPr>
          <w:rFonts w:ascii="Arial" w:hAnsi="Arial" w:cs="Arial"/>
          <w:sz w:val="20"/>
          <w:szCs w:val="20"/>
        </w:rPr>
      </w:pPr>
      <w:r w:rsidRPr="00730E47">
        <w:rPr>
          <w:rFonts w:ascii="Arial" w:hAnsi="Arial" w:cs="Arial"/>
          <w:sz w:val="20"/>
          <w:szCs w:val="20"/>
        </w:rPr>
        <w:t xml:space="preserve">Four speleothem records from mainland Australia were identified from the SISAL V2 database </w:t>
      </w:r>
      <w:r w:rsidRPr="00730E47">
        <w:rPr>
          <w:rFonts w:ascii="Arial" w:hAnsi="Arial" w:cs="Arial"/>
          <w:sz w:val="20"/>
          <w:szCs w:val="20"/>
        </w:rPr>
        <w:fldChar w:fldCharType="begin" w:fldLock="1"/>
      </w:r>
      <w:r w:rsidRPr="00730E47">
        <w:rPr>
          <w:rFonts w:ascii="Arial" w:hAnsi="Arial" w:cs="Arial"/>
          <w:sz w:val="20"/>
          <w:szCs w:val="20"/>
        </w:rPr>
        <w:instrText>ADDIN CSL_CITATION {"citationItems":[{"id":"ITEM-1","itemData":{"DOI":"10.5194/essd-12-2579-2020","ISSN":"18663516","abstract":"Characterizing the temporal uncertainty in palaeoclimate records is crucial for analysing past climate change, correlating climate events between records, assessing climate periodicities, identifying potential triggers and evaluating climate model simulations. The first global compilation of speleothem isotope records by the SISAL (Speleothem Isotope Synthesis and Analysis) working group showed that age model uncertainties are not systematically reported in the published literature, and these are only available for a limited number of records (ca. 15 %, n = 107/691). To improve the usefulness of the SISAL database, we have (i) improved the database's spatio-temporal coverage and (ii) created new chronologies using seven different approaches for age- depth modelling. We have applied these alternative chronologies to the records from the first version of the SISAL database (SISALv1) and to new records compiled since the release of SISALv1. This paper documents the necessary changes in the structure of the SISAL database to accommodate the inclusion of the new age models and their uncertainties as well as the expansion of the database to include new records and the qualitycontrol measures applied. This paper also documents the age-depth model approaches used to calculate the new chronologies. The updated version of the SISAL database (SISALv2) contains isotopic data from 691 speleothem records from 294 cave sites and new age-depth models, including age-depth temporal uncertainties for 512 speleothems.","author":[{"dropping-particle":"","family":"Comas-Bru","given":"Laia","non-dropping-particle":"","parse-names":false,"suffix":""},{"dropping-particle":"","family":"Rehfeld","given":"Kira","non-dropping-particle":"","parse-names":false,"suffix":""},{"dropping-particle":"","family":"Roesch","given":"Carla","non-dropping-particle":"","parse-names":false,"suffix":""},{"dropping-particle":"","family":"Amirnezhad-Mozhdehi","given":"Sahar","non-dropping-particle":"","parse-names":false,"suffix":""},{"dropping-particle":"","family":"Harrison","given":"Sandy P.","non-dropping-particle":"","parse-names":false,"suffix":""},{"dropping-particle":"","family":"Atsawawaranunt","given":"Kamolphat","non-dropping-particle":"","parse-names":false,"suffix":""},{"dropping-particle":"","family":"Ahmad","given":"Syed Masood","non-dropping-particle":"","parse-names":false,"suffix":""},{"dropping-particle":"","family":"Brahim","given":"Yassine Ait","non-dropping-particle":"","parse-names":false,"suffix":""},{"dropping-particle":"","family":"Baker","given":"Andy","non-dropping-particle":"","parse-names":false,"suffix":""},{"dropping-particle":"","family":"Bosomworth","given":"Matthew","non-dropping-particle":"","parse-names":false,"suffix":""},{"dropping-particle":"","family":"Breitenbach","given":"Sebastian F.M.","non-dropping-particle":"","parse-names":false,"suffix":""},{"dropping-particle":"","family":"Burstyn","given":"Yuval","non-dropping-particle":"","parse-names":false,"suffix":""},{"dropping-particle":"","family":"Columbu","given":"Andrea","non-dropping-particle":"","parse-names":false,"suffix":""},{"dropping-particle":"","family":"Deininger","given":"Michael","non-dropping-particle":"","parse-names":false,"suffix":""},{"dropping-particle":"","family":"Demény","given":"Attila","non-dropping-particle":"","parse-names":false,"suffix":""},{"dropping-particle":"","family":"Dixon","given":"Bronwyn","non-dropping-particle":"","parse-names":false,"suffix":""},{"dropping-particle":"","family":"Fohlmeister","given":"Jens","non-dropping-particle":"","parse-names":false,"suffix":""},{"dropping-particle":"","family":"Hatvani","given":"István Gábor","non-dropping-particle":"","parse-names":false,"suffix":""},{"dropping-particle":"","family":"Hu","given":"Jun","non-dropping-particle":"","parse-names":false,"suffix":""},{"dropping-particle":"","family":"Kaushal","given":"Nikita","non-dropping-particle":"","parse-names":false,"suffix":""},{"dropping-particle":"","family":"Kern","given":"Zoltán","non-dropping-particle":"","parse-names":false,"suffix":""},{"dropping-particle":"","family":"Labuhn","given":"Inga","non-dropping-particle":"","parse-names":false,"suffix":""},{"dropping-particle":"","family":"Lechleitner","given":"Franziska A.","non-dropping-particle":"","parse-names":false,"suffix":""},{"dropping-particle":"","family":"Lorrey","given":"Andrew","non-dropping-particle":"","parse-names":false,"suffix":""},{"dropping-particle":"","family":"Martrat","given":"Belen","non-dropping-particle":"","parse-names":false,"suffix":""},{"dropping-particle":"","family":"Novello","given":"Valdir Felipe","non-dropping-particle":"","parse-names":false,"suffix":""},{"dropping-particle":"","family":"Oster","given":"Jessica","non-dropping-particle":"","parse-names":false,"suffix":""},{"dropping-particle":"","family":"Pérez-Mejías","given":"Carlos","non-dropping-particle":"","parse-names":false,"suffix":""},{"dropping-particle":"","family":"Scholz","given":"Denis","non-dropping-particle":"","parse-names":false,"suffix":""},{"dropping-particle":"","family":"Scroxton","given":"Nick","non-dropping-particle":"","parse-names":false,"suffix":""},{"dropping-particle":"","family":"Sinha","given":"Nitesh","non-dropping-particle":"","parse-names":false,"suffix":""},{"dropping-particle":"","family":"Ward","given":"Brittany Marie","non-dropping-particle":"","parse-names":false,"suffix":""},{"dropping-particle":"","family":"Warken","given":"Sophie","non-dropping-particle":"","parse-names":false,"suffix":""},{"dropping-particle":"","family":"Zhang","given":"Haiwei","non-dropping-particle":"","parse-names":false,"suffix":""},{"dropping-particle":"","family":"Apaéstegui","given":"James","non-dropping-particle":"","parse-names":false,"suffix":""},{"dropping-particle":"","family":"Baldini","given":"Lisa M.","non-dropping-particle":"","parse-names":false,"suffix":""},{"dropping-particle":"","family":"Band","given":"Shraddha","non-dropping-particle":"","parse-names":false,"suffix":""},{"dropping-particle":"","family":"Blaauw","given":"Maarten","non-dropping-particle":"","parse-names":false,"suffix":""},{"dropping-particle":"","family":"Boch","given":"Ronny","non-dropping-particle":"","parse-names":false,"suffix":""},{"dropping-particle":"","family":"Borsato","given":"Andrea","non-dropping-particle":"","parse-names":false,"suffix":""},{"dropping-particle":"","family":"Budsky","given":"Alexander","non-dropping-particle":"","parse-names":false,"suffix":""},{"dropping-particle":"","family":"Rosell","given":"Maria Gracia Bustamante","non-dropping-particle":"","parse-names":false,"suffix":""},{"dropping-particle":"","family":"Chawchai","given":"Sakonvan","non-dropping-particle":"","parse-names":false,"suffix":""},{"dropping-particle":"","family":"Constantin","given":"Silviu","non-dropping-particle":"","parse-names":false,"suffix":""},{"dropping-particle":"","family":"Denniston","given":"Rhawn","non-dropping-particle":"","parse-names":false,"suffix":""},{"dropping-particle":"","family":"Dragusin","given":"Virgil","non-dropping-particle":"","parse-names":false,"suffix":""},{"dropping-particle":"","family":"Drysdale","given":"Russell","non-dropping-particle":"","parse-names":false,"suffix":""},{"dropping-particle":"","family":"Dumitru","given":"Oana","non-dropping-particle":"","parse-names":false,"suffix":""},{"dropping-particle":"","family":"Frappier","given":"Amy","non-dropping-particle":"","parse-names":false,"suffix":""},{"dropping-particle":"","family":"Gandhi","given":"Naveen","non-dropping-particle":"","parse-names":false,"suffix":""},{"dropping-particle":"","family":"Gautam","given":"Pawan","non-dropping-particle":"","parse-names":false,"suffix":""},{"dropping-particle":"","family":"Hanying","given":"Li","non-dropping-particle":"","parse-names":false,"suffix":""},{"dropping-particle":"","family":"Isola","given":"Ilaria","non-dropping-particle":"","parse-names":false,"suffix":""},{"dropping-particle":"","family":"Jiang","given":"Xiuyang","non-dropping-particle":"","parse-names":false,"suffix":""},{"dropping-particle":"","family":"Jingyao","given":"Zhao","non-dropping-particle":"","parse-names":false,"suffix":""},{"dropping-particle":"","family":"Johnson","given":"Kathleen","non-dropping-particle":"","parse-names":false,"suffix":""},{"dropping-particle":"","family":"Vanessa Johnston","given":"","non-dropping-particle":"","parse-names":false,"suffix":""},{"dropping-particle":"","family":"Kathayat","given":"Gayatri","non-dropping-particle":"","parse-names":false,"suffix":""},{"dropping-particle":"","family":"Klose","given":"Jennifer","non-dropping-particle":"","parse-names":false,"suffix":""},{"dropping-particle":"","family":"Krause","given":"Claire","non-dropping-particle":"","parse-names":false,"suffix":""},{"dropping-particle":"","family":"Lachniet","given":"Matthew","non-dropping-particle":"","parse-names":false,"suffix":""},{"dropping-particle":"","family":"Laskar","given":"Amzad","non-dropping-particle":"","parse-names":false,"suffix":""},{"dropping-particle":"","family":"Lauritzen","given":"Stein Erik","non-dropping-particle":"","parse-names":false,"suffix":""},{"dropping-particle":"","family":"Lončar","given":"Nina","non-dropping-particle":"","parse-names":false,"suffix":""},{"dropping-particle":"","family":"Moseley","given":"Gina","non-dropping-particle":"","parse-names":false,"suffix":""},{"dropping-particle":"","family":"Narayana","given":"Allu C.","non-dropping-particle":"","parse-names":false,"suffix":""},{"dropping-particle":"","family":"Onac","given":"Bogdan P.","non-dropping-particle":"","parse-names":false,"suffix":""},{"dropping-particle":"","family":"Racovitǎ","given":"Emil","non-dropping-particle":"","parse-names":false,"suffix":""},{"dropping-particle":"","family":"Pawlak","given":"Jacek","non-dropping-particle":"","parse-names":false,"suffix":""},{"dropping-particle":"","family":"Ramsey","given":"Christopher Bronk","non-dropping-particle":"","parse-names":false,"suffix":""},{"dropping-particle":"","family":"Rivera-Collazo","given":"Isabel","non-dropping-particle":"","parse-names":false,"suffix":""},{"dropping-particle":"","family":"Rossi","given":"Carlos","non-dropping-particle":"","parse-names":false,"suffix":""},{"dropping-particle":"","family":"Rowe","given":"Peter J.","non-dropping-particle":"","parse-names":false,"suffix":""},{"dropping-particle":"","family":"Stríkis","given":"Nicolás M.","non-dropping-particle":"","parse-names":false,"suffix":""},{"dropping-particle":"","family":"Tan","given":"Liangcheng","non-dropping-particle":"","parse-names":false,"suffix":""},{"dropping-particle":"","family":"Verheyden","given":"Sophie","non-dropping-particle":"","parse-names":false,"suffix":""},{"dropping-particle":"","family":"Vonhof","given":"Hubert","non-dropping-particle":"","parse-names":false,"suffix":""},{"dropping-particle":"","family":"Weber","given":"Michael","non-dropping-particle":"","parse-names":false,"suffix":""},{"dropping-particle":"","family":"Wendt","given":"Kathleen","non-dropping-particle":"","parse-names":false,"suffix":""},{"dropping-particle":"","family":"Wilcox","given":"Paul","non-dropping-particle":"","parse-names":false,"suffix":""},{"dropping-particle":"","family":"Winter","given":"Amos","non-dropping-particle":"","parse-names":false,"suffix":""},{"dropping-particle":"","family":"Wu","given":"Jiangying","non-dropping-particle":"","parse-names":false,"suffix":""},{"dropping-particle":"","family":"Wynn","given":"Peter","non-dropping-particle":"","parse-names":false,"suffix":""},{"dropping-particle":"","family":"Yadava","given":"Madhusudan G.","non-dropping-particle":"","parse-names":false,"suffix":""}],"container-title":"Earth System Science Data","id":"ITEM-1","issue":"4","issued":{"date-parts":[["2020"]]},"page":"2579-2606","title":"SISALv2: A comprehensive speleothem isotope database with multiple age-depth models","type":"article-journal","volume":"12"},"uris":["http://www.mendeley.com/documents/?uuid=ef3f876d-6157-49b9-88fc-88be052c2780"]}],"mendeley":{"formattedCitation":"(3)","plainTextFormattedCitation":"(3)","previouslyFormattedCitation":"(3)"},"properties":{"noteIndex":0},"schema":"https://github.com/citation-style-language/schema/raw/master/csl-citation.json"}</w:instrText>
      </w:r>
      <w:r w:rsidRPr="00730E47">
        <w:rPr>
          <w:rFonts w:ascii="Arial" w:hAnsi="Arial" w:cs="Arial"/>
          <w:sz w:val="20"/>
          <w:szCs w:val="20"/>
        </w:rPr>
        <w:fldChar w:fldCharType="separate"/>
      </w:r>
      <w:r w:rsidRPr="00730E47">
        <w:rPr>
          <w:rFonts w:ascii="Arial" w:hAnsi="Arial" w:cs="Arial"/>
          <w:noProof/>
          <w:sz w:val="20"/>
          <w:szCs w:val="20"/>
        </w:rPr>
        <w:t>(3)</w:t>
      </w:r>
      <w:r w:rsidRPr="00730E47">
        <w:rPr>
          <w:rFonts w:ascii="Arial" w:hAnsi="Arial" w:cs="Arial"/>
          <w:sz w:val="20"/>
          <w:szCs w:val="20"/>
        </w:rPr>
        <w:fldChar w:fldCharType="end"/>
      </w:r>
      <w:r w:rsidRPr="00730E47">
        <w:rPr>
          <w:rFonts w:ascii="Arial" w:hAnsi="Arial" w:cs="Arial"/>
          <w:sz w:val="20"/>
          <w:szCs w:val="20"/>
        </w:rPr>
        <w:t>, KNI151, Ball Gown Cave, Cave C126 and Mairs Cave. The δ</w:t>
      </w:r>
      <w:r w:rsidRPr="00730E47">
        <w:rPr>
          <w:rFonts w:ascii="Arial" w:hAnsi="Arial" w:cs="Arial"/>
          <w:sz w:val="20"/>
          <w:szCs w:val="20"/>
          <w:vertAlign w:val="superscript"/>
        </w:rPr>
        <w:t>18</w:t>
      </w:r>
      <w:r w:rsidRPr="00730E47">
        <w:rPr>
          <w:rFonts w:ascii="Arial" w:hAnsi="Arial" w:cs="Arial"/>
          <w:sz w:val="20"/>
          <w:szCs w:val="20"/>
        </w:rPr>
        <w:t>O of calcite from each of these speleothems was compared to decadal averaged modelled precipitation outputs from the grid cell encompassing each speleothem record (Figure S2). δ</w:t>
      </w:r>
      <w:r w:rsidRPr="00730E47">
        <w:rPr>
          <w:rFonts w:ascii="Arial" w:hAnsi="Arial" w:cs="Arial"/>
          <w:sz w:val="20"/>
          <w:szCs w:val="20"/>
          <w:vertAlign w:val="superscript"/>
        </w:rPr>
        <w:t>18</w:t>
      </w:r>
      <w:r w:rsidRPr="00730E47">
        <w:rPr>
          <w:rFonts w:ascii="Arial" w:hAnsi="Arial" w:cs="Arial"/>
          <w:sz w:val="20"/>
          <w:szCs w:val="20"/>
        </w:rPr>
        <w:t xml:space="preserve">O of calcite in each of these records has been interpreted to represent precipitation amount </w:t>
      </w:r>
      <w:r w:rsidRPr="00730E47">
        <w:rPr>
          <w:rFonts w:ascii="Arial" w:hAnsi="Arial" w:cs="Arial"/>
          <w:sz w:val="20"/>
          <w:szCs w:val="20"/>
        </w:rPr>
        <w:fldChar w:fldCharType="begin" w:fldLock="1"/>
      </w:r>
      <w:r w:rsidRPr="00730E47">
        <w:rPr>
          <w:rFonts w:ascii="Arial" w:hAnsi="Arial" w:cs="Arial"/>
          <w:sz w:val="20"/>
          <w:szCs w:val="20"/>
        </w:rPr>
        <w:instrText xml:space="preserve">ADDIN CSL_CITATION {"citationItems":[{"id":"ITEM-1","itemData":{"DOI":"10.1016/j.quascirev.2013.04.012","ISSN":"02773791","abstract":"Recent studies of the Last Glacial period Indo-Australian summer monsoon (IASM) have revealed links to both northern and southern hemisphere high latitude climate as well as to regional ocean conditions. Particular interest has been paid to the monsoon response to Heinrich events, with variability explained by meridional shifts in positioning of the intertropical convergence zone (ITCZ), but this model has not been adequately tested. In addition, the shorter-lived Dansgaard/Oeschger (D/O) events have not been detected (beyond D/O-1, the Bølling/Allerød) in land-based records from the Indo-Pacific, despite their prominent expression in stalagmites from southern Asia, raising questions about the sensitivity of the IASM to these events. Here we present a Southern Hemisphere stalagmite oxygen isotopic time series from Ball Gown Cave (BGC), tropical northern Australia, located on the margins of the modern austral summer ITCZ, that spans 40-31 and 27-8ka. Elevated IASM rainfall coincides with Heinrich stadials and the Younger Dryas, while decreased rainfall characterizes D/O interstadials, a response that is anti-phased with sites spanning the Indo-Pacific Warm Pool and with Chinese records of the East Asian summer monsoon. The BGC time series thus reveals a precipitation dipole consistent with a southward (northward) migration of the ITCZ during periods of high northern latitude cooling (warming) as the primary driver of millennial-scale IASM variability during the Last Glacial period. Our record indicates a strengthening of the IASM after the Younger Dryas period, likely as a result of rising sea level and sea surface temperatures, breaking the link with the high latitudes. © 2013 Elsevier Ltd.","author":[{"dropping-particle":"","family":"Denniston","given":"Rhawn F.","non-dropping-particle":"","parse-names":false,"suffix":""},{"dropping-particle":"","family":"Wyrwoll","given":"Karl Heinz","non-dropping-particle":"","parse-names":false,"suffix":""},{"dropping-particle":"","family":"Asmerom","given":"Yemane","non-dropping-particle":"","parse-names":false,"suffix":""},{"dropping-particle":"","family":"Polyak","given":"Victor J.","non-dropping-particle":"","parse-names":false,"suffix":""},{"dropping-particle":"","family":"Humphreys","given":"William F.","non-dropping-particle":"","parse-names":false,"suffix":""},{"dropping-particle":"","family":"Cugley","given":"John","non-dropping-particle":"","parse-names":false,"suffix":""},{"dropping-particle":"","family":"Woods","given":"David","non-dropping-particle":"","parse-names":false,"suffix":""},{"dropping-particle":"","family":"LaPointe","given":"Zachary","non-dropping-particle":"","parse-names":false,"suffix":""},{"dropping-particle":"","family":"Peota","given":"Julian","non-dropping-particle":"","parse-names":false,"suffix":""},{"dropping-particle":"","family":"Greaves","given":"Elizabeth","non-dropping-particle":"","parse-names":false,"suffix":""}],"container-title":"Quaternary Science Reviews","id":"ITEM-1","issued":{"date-parts":[["2013"]]},"page":"159-168","publisher":"Elsevier Ltd","title":"North Atlantic forcing of millennial-scale Indo-Australian monsoon dynamics during the Last Glacial period","type":"article-journal","volume":"72"},"uris":["http://www.mendeley.com/documents/?uuid=95f00d3c-ca07-42d8-a1c2-9dafef42f26d"]},{"id":"ITEM-2","itemData":{"DOI":"10.1016/j.quascirev.2013.07.002","ISSN":"02773791","abstract":"Stable isotope profiles of 230Th-dated stalagmites from cave C126, Cape Range Peninsula, Western Australia, provide the first high-resolution, continental paleoclimate record spanning the Last Glacial Maximum, deglaciation, and early to middle Holocene from the Indian Ocean sector of Australia. Today, rainfall at Cape Range is sparse, highly variable, and is divided more or less equally between winter and summer rains, with winter precipitation linked to northwest cloud bands and cold fronts derived from the southern mid- to high-latitudes, and summer precipitation due primarily to tropical cyclone activity. Influences of the Indo-Australian summer monsoon at Cape Range are minimal as this region lies south of the modern monsoon margin. The interaction of these atmospheric systems helps shape the environment at Cape Range, and thus C126 stalagmite-based paleoclimatic reconstructions should reflect variability in moisture source driven by changing ocean and atmospheric conditions.The C126 record reveals slow stalagmite growth and isotopically heavy oxygen isotope values during the Last Glacial Maximum, followed by increased growth rates and decreased oxygen isotopic ratios at 19ka, reaching a δ18O minimum from 17.5 to 16.0ka, coincident with Heinrich Stadial 1. The origin of this oxygen isotopic shift may reflect enhanced moisture and lower oxygen isotopic ratios due to amount effect-driven changes in rainfall δ18O values from an increase in rainfall derived from tropical cyclones or changes in northwest cloud band activity, although the controls on both systems are poorly constrained for this time period. Alternatively, lower C126 stalagmite δ18O values may have been driven by more frequent or more intense frontal systems associated with southerly-derived moisture sources, possibly in relation to meridional shifts in positioning of the southern westerlies which have been linked to southern Australia megalake highstands at this time. Finally, we also consider the possibility of contributions of tropical moisture derived from the Indo-Australian summer monsoon. The Intertropical Convergence Zone and associated monsoon trough shifted southward during Heinrich events and other periods of high northern latitude cooling, and although clearly weakened during glacial periods, rainfall with low δ18O values associated with the monsoon today suggests that even small contributions from this moisture source could have accounted for some of the observed oxygen isotop…","author":[{"dropping-particle":"","family":"Denniston","given":"Rhawn F.","non-dropping-particle":"","parse-names":false,"suffix":""},{"dropping-particle":"","family":"Asmerom","given":"Yemane","non-dropping-particle":"","parse-names":false,"suffix":""},{"dropping-particle":"","family":"Lachniet","given":"Matthew","non-dropping-particle":"","parse-names":false,"suffix":""},{"dropping-particle":"","family":"Polyak","given":"Victor J.","non-dropping-particle":"","parse-names":false,"suffix":""},{"dropping-particle":"","family":"Hope","given":"Pandora","non-dropping-particle":"","parse-names":false,"suffix":""},{"dropping-particle":"","family":"An","given":"Ni","non-dropping-particle":"","parse-names":false,"suffix":""},{"dropping-particle":"","family":"Rodzinyak","given":"Kristyn","non-dropping-particle":"","parse-names":false,"suffix":""},{"dropping-particle":"","family":"Humphreys","given":"William F.","non-dropping-particle":"","parse-names":false,"suffix":""}],"container-title":"Quaternary Science Reviews","id":"ITEM-2","issued":{"date-parts":[["2013"]]},"page":"101-112","title":"A Last Glacial Maximum through middle Holocene stalagmite record of coastal Western Australia climate","type":"article-journal","volume":"77"},"uris":["http://www.mendeley.com/documents/?uuid=ab96cff2-fe34-4d61-a99f-e8be2a6f5bcd"]},{"id":"ITEM-3","itemData":{"DOI":"10.1016/j.quascirev.2017.09.014","ISSN":"02773791","abstract":"Recent studies of stalagmites from the Southern Hemisphere tropics of Indonesia reveal two shifts in monsoon activity not apparent in records from the Northern Hemisphere sectors of the Austral-Asian monsoon system: an interval of enhanced rainfall at </w:instrText>
      </w:r>
      <w:r w:rsidRPr="00730E47">
        <w:rPr>
          <w:rFonts w:ascii="Cambria Math" w:hAnsi="Cambria Math" w:cs="Cambria Math"/>
          <w:sz w:val="20"/>
          <w:szCs w:val="20"/>
        </w:rPr>
        <w:instrText>∼</w:instrText>
      </w:r>
      <w:r w:rsidRPr="00730E47">
        <w:rPr>
          <w:rFonts w:ascii="Arial" w:hAnsi="Arial" w:cs="Arial"/>
          <w:sz w:val="20"/>
          <w:szCs w:val="20"/>
        </w:rPr>
        <w:instrText xml:space="preserve">19 ka, immediately prior to Heinrich Stadial 1, and a sharp increase in precipitation at </w:instrText>
      </w:r>
      <w:r w:rsidRPr="00730E47">
        <w:rPr>
          <w:rFonts w:ascii="Cambria Math" w:hAnsi="Cambria Math" w:cs="Cambria Math"/>
          <w:sz w:val="20"/>
          <w:szCs w:val="20"/>
        </w:rPr>
        <w:instrText>∼</w:instrText>
      </w:r>
      <w:r w:rsidRPr="00730E47">
        <w:rPr>
          <w:rFonts w:ascii="Arial" w:hAnsi="Arial" w:cs="Arial"/>
          <w:sz w:val="20"/>
          <w:szCs w:val="20"/>
        </w:rPr>
        <w:instrText>9 ka. Determining whether these events are site-specific or regional is important for understanding the full range of sensitivities of the Austral-Asian monsoon. We present a discontinuous 40 kyr carbon isotope record of stalagmites from two caves in the Kimberley region of the north-central Australian tropics. Heinrich stadials are represented by pronounced negative carbon isotopic anomalies, indicative of enhanced rainfall associated with a southward shift of the intertropical convergence zone and consistent with hydroclimatic changes observed across Asia and the Indo-Pacific. Between 20 and 8 ka, however, the Kimberley stalagmites, like the Indonesian record, reveal decoupling of monsoon behavior from Southeast Asia, including the early deglacial wet period (which we term the Late Glacial Pluvial) and the abrupt strengthening of early Holocene monsoon rainfall.","author":[{"dropping-particle":"","family":"Denniston","given":"R. F.","non-dropping-particle":"","parse-names":false,"suffix":""},{"dropping-particle":"","family":"Asmerom","given":"Y.","non-dropping-particle":"","parse-names":false,"suffix":""},{"dropping-particle":"","family":"Polyak","given":"V. J.","non-dropping-particle":"","parse-names":false,"suffix":""},{"dropping-particle":"","family":"Wanamaker","given":"A. D.","non-dropping-particle":"","parse-names":false,"suffix":""},{"dropping-particle":"","family":"Ummenhofer","given":"C. C.","non-dropping-particle":"","parse-names":false,"suffix":""},{"dropping-particle":"","family":"Humphreys","given":"W. F.","non-dropping-particle":"","parse-names":false,"suffix":""},{"dropping-particle":"","family":"Cugley","given":"J.","non-dropping-particle":"","parse-names":false,"suffix":""},{"dropping-particle":"","family":"Woods","given":"D.","non-dropping-particle":"","parse-names":false,"suffix":""},{"dropping-particle":"","family":"Lucker","given":"S.","non-dropping-particle":"","parse-names":false,"suffix":""}],"container-title":"Quaternary Science Reviews","id":"ITEM-3","issued":{"date-parts":[["2017"]]},"page":"101-105","publisher":"Elsevier Ltd","title":"Decoupling of monsoon activity across the northern and southern Indo-Pacific during the Late Glacial","type":"article-journal","volume":"176"},"uris":["http://www.mendeley.com/documents/?uuid=f832a0f7-2687-40aa-8e44-dddf5322f998"]},{"id":"ITEM-4","itemData":{"DOI":"10.5194/cp-13-667-2017","ISBN":"1814-9332","ISSN":"18149332","abstract":"Terrestrial data spanning the Last Glacial Maximum (LGM) and deglaciation from the southern Australian region are sparse, and limited to discontinuous sedimentological and geomorphological records with relatively large chronological uncertainties. This dearth of records has prevented a critical assessment of the role of the Southern Hemisphere mid-latitude westerly winds on the region’s climate during this time period. In this study, two precisely-dated speleothem records for Mairs Cave, Flinders Ranges, are presented, providing a detailed terrestrial hydroclimatic record for the southern Australian drylands during 23&amp;ndash;15 ka for the first time. Enhanced recharge to Mairs Cave is interpreted from the speleothem record by the activation of growth, physical flood layering and δ18O and δ13C minima. Periods of lowered recharge are indicated by isotopic enrichment, primarily affecting δ18O, argued to be driven by evaporation of shallow soil/epikarst water in this water-limited environment. A hydrological driver is supported by calcite fabric changes. The Mairs Cave record indicates that the Flinders Ranges were relatively wet during the LGM and early deglaciation, particularly over the interval 18.9&amp;ndash;16 ka. This wetter phase ended abruptly with a shift to drier conditions at 15.8 ka. These findings are in agreement with the geomorphic archives for this region, as well as the timing of events in records from the broader Australasian region. The recharge phases identified in the Mairs Cave record are correlated with, but antiphase to, the position of the westerly winds interpreted from a marine core in the Great Australian Bight. The implication is that the mid-latitude westerlies are located further south during the period of enhanced recharge in the Mairs Cave record (18.9&amp;ndash;16 ka), and conversely are located further north when greater aridity is interpreted in the speleothem record. A comparison with speleothem records from the northern Australasian region reveals that the availability of sub-tropical/tropical moisture is the most likely explanation driving enhanced recharge, with further amplification of recharge occurring during the early half of Heinrich Stadial 1, possibly influenced by a more southerly-displaced Intertropical Convergence Zone (ITCZ). A rapid transition to aridity at 15.8 ka is consistent with a retraction of this tropical moisture source.","author":[{"dropping-particle":"","family":"Treble","given":"Pauline C.","non-dropping-particle":"","parse-names":false,"suffix":""},{"dropping-particle":"","family":"Baker","given":"Andy","non-dropping-particle":"","parse-names":false,"suffix":""},{"dropping-particle":"","family":"Ayliffe","given":"Linda K.","non-dropping-particle":"","parse-names":false,"suffix":""},{"dropping-particle":"","family":"Cohen","given":"Timothy J.","non-dropping-particle":"","parse-names":false,"suffix":""},{"dropping-particle":"","family":"Hellstrom","given":"John C.","non-dropping-particle":"","parse-names":false,"suffix":""},{"dropping-particle":"","family":"Gagan","given":"Michael K.","non-dropping-particle":"","parse-names":false,"suffix":""},{"dropping-particle":"","family":"Frisia","given":"Silvia","non-dropping-particle":"","parse-names":false,"suffix":""},{"dropping-particle":"","family":"Drysdale","given":"Russell N.","non-dropping-particle":"","parse-names":false,"suffix":""},{"dropping-particle":"","family":"Griffiths","given":"Alan D.","non-dropping-particle":"","parse-names":false,"suffix":""},{"dropping-particle":"","family":"Borsato","given":"Andrea","non-dropping-particle":"","parse-names":false,"suffix":""}],"container-title":"Climate of the Past","id":"ITEM-4","issue":"6","issued":{"date-parts":[["2017"]]},"note":"period between 23 - 18.9 ka suggest that the cave is affected by rapid infiltration of high intensity events resulting in soil zone bypass or inundation by flood waters. \nAn abrupt shift at 18.9ka occurs. Characterised by a 2%. decrease in 18O and 13C, reduced isotopic amplitude and weak covariation between 18O and 13C. Suggests a shift in hydrological regime to more effective recharge or reduced evapotranspiration from 18.9-15.8ka. \n15.8ka marks a abrupt increase in 18O and 13C. Accompanied by reduction in growth rate and higher Mg/Ca values. Suggest a change in hydrology and increase in temp from 15.8ka until growth ceased.","page":"667-687","title":"Hydroclimate of the Last Glacial Maximum and deglaciation in southern Australia's arid margin interpreted from speleothem records (23-15 ka)","type":"article-journal","volume":"13"},"uris":["http://www.mendeley.com/documents/?uuid=d2f1f1aa-aee1-4c40-94c7-999c83e2e8e5"]}],"mendeley":{"formattedCitation":"(16–19)","plainTextFormattedCitation":"(16–19)","previouslyFormattedCitation":"(16–19)"},"properties":{"noteIndex":0},"schema":"https://github.com/citation-style-language/schema/raw/master/csl-citation.json"}</w:instrText>
      </w:r>
      <w:r w:rsidRPr="00730E47">
        <w:rPr>
          <w:rFonts w:ascii="Arial" w:hAnsi="Arial" w:cs="Arial"/>
          <w:sz w:val="20"/>
          <w:szCs w:val="20"/>
        </w:rPr>
        <w:fldChar w:fldCharType="separate"/>
      </w:r>
      <w:r w:rsidRPr="00730E47">
        <w:rPr>
          <w:rFonts w:ascii="Arial" w:hAnsi="Arial" w:cs="Arial"/>
          <w:noProof/>
          <w:sz w:val="20"/>
          <w:szCs w:val="20"/>
        </w:rPr>
        <w:t>(16–19)</w:t>
      </w:r>
      <w:r w:rsidRPr="00730E47">
        <w:rPr>
          <w:rFonts w:ascii="Arial" w:hAnsi="Arial" w:cs="Arial"/>
          <w:sz w:val="20"/>
          <w:szCs w:val="20"/>
        </w:rPr>
        <w:fldChar w:fldCharType="end"/>
      </w:r>
      <w:r w:rsidRPr="00730E47">
        <w:rPr>
          <w:rFonts w:ascii="Arial" w:hAnsi="Arial" w:cs="Arial"/>
          <w:sz w:val="20"/>
          <w:szCs w:val="20"/>
        </w:rPr>
        <w:t xml:space="preserve">. Isotopic response to site specific effects, moisture source and evaporation are expected, however broad scale trends </w:t>
      </w:r>
      <w:bookmarkStart w:id="11" w:name="_Hlk125634189"/>
      <w:r w:rsidRPr="00730E47">
        <w:rPr>
          <w:rFonts w:ascii="Arial" w:hAnsi="Arial" w:cs="Arial"/>
          <w:sz w:val="20"/>
          <w:szCs w:val="20"/>
        </w:rPr>
        <w:t xml:space="preserve">between modelled precipitation and </w:t>
      </w:r>
      <w:bookmarkStart w:id="12" w:name="_Hlk126063652"/>
      <w:r w:rsidRPr="00730E47">
        <w:rPr>
          <w:rFonts w:ascii="Arial" w:hAnsi="Arial" w:cs="Arial"/>
          <w:sz w:val="20"/>
          <w:szCs w:val="20"/>
        </w:rPr>
        <w:t>δ</w:t>
      </w:r>
      <w:r w:rsidRPr="00730E47">
        <w:rPr>
          <w:rFonts w:ascii="Arial" w:hAnsi="Arial" w:cs="Arial"/>
          <w:sz w:val="20"/>
          <w:szCs w:val="20"/>
          <w:vertAlign w:val="superscript"/>
        </w:rPr>
        <w:t>18</w:t>
      </w:r>
      <w:r w:rsidRPr="00730E47">
        <w:rPr>
          <w:rFonts w:ascii="Arial" w:hAnsi="Arial" w:cs="Arial"/>
          <w:sz w:val="20"/>
          <w:szCs w:val="20"/>
        </w:rPr>
        <w:t>O of calcite</w:t>
      </w:r>
      <w:bookmarkEnd w:id="12"/>
      <w:r w:rsidRPr="00730E47">
        <w:rPr>
          <w:rFonts w:ascii="Arial" w:hAnsi="Arial" w:cs="Arial"/>
          <w:sz w:val="20"/>
          <w:szCs w:val="20"/>
        </w:rPr>
        <w:t xml:space="preserve"> is evident for all records, with very good agreement in two of the four stalagmite records (Cave C126 and Mairs Cave; Figure S3). Coherence between rainfall derived changes in δ</w:t>
      </w:r>
      <w:r w:rsidRPr="00730E47">
        <w:rPr>
          <w:rFonts w:ascii="Arial" w:hAnsi="Arial" w:cs="Arial"/>
          <w:sz w:val="20"/>
          <w:szCs w:val="20"/>
          <w:vertAlign w:val="superscript"/>
        </w:rPr>
        <w:t>18</w:t>
      </w:r>
      <w:r w:rsidRPr="00730E47">
        <w:rPr>
          <w:rFonts w:ascii="Arial" w:hAnsi="Arial" w:cs="Arial"/>
          <w:sz w:val="20"/>
          <w:szCs w:val="20"/>
        </w:rPr>
        <w:t xml:space="preserve">O of calcite in Australian speleothem records and modelled precipitation suggests the iTRACE modelled precipitation output can accurately reconstruct past precipitation patterns, even if exact amounts are less certain (Figure S3). </w:t>
      </w:r>
      <w:bookmarkEnd w:id="11"/>
      <w:r w:rsidRPr="00730E47">
        <w:rPr>
          <w:rFonts w:ascii="Arial" w:hAnsi="Arial" w:cs="Arial"/>
          <w:sz w:val="20"/>
          <w:szCs w:val="20"/>
        </w:rPr>
        <w:t xml:space="preserve">Recent studies from the Sunda shelf and monsoon regions have similarly shown the ability of the iTRACE models to predict local scale rainfall patterns </w:t>
      </w:r>
      <w:r w:rsidRPr="00730E47">
        <w:rPr>
          <w:rFonts w:ascii="Arial" w:hAnsi="Arial" w:cs="Arial"/>
          <w:sz w:val="20"/>
          <w:szCs w:val="20"/>
        </w:rPr>
        <w:fldChar w:fldCharType="begin" w:fldLock="1"/>
      </w:r>
      <w:r w:rsidRPr="00730E47">
        <w:rPr>
          <w:rFonts w:ascii="Arial" w:hAnsi="Arial" w:cs="Arial"/>
          <w:sz w:val="20"/>
          <w:szCs w:val="20"/>
        </w:rPr>
        <w:instrText>ADDIN CSL_CITATION {"citationItems":[{"id":"ITEM-1","itemData":{"DOI":"10.1016/j.quascirev.2021.107188","ISSN":"02773791","abstract":"The Indo-Pacific Warm Pool (IPWP) is the largest source of atmospheric heating and moisture on Earth, energizing the global moisture and energy budgets and controlling global ocean-atmosphere circulation. However, the mechanisms driving orbital-scale changes in hydroclimate and proxy records of precipitation isotopic composition remain poorly known. Here, we use the isotope-enabled Transient Climate Evolution (iTRACE) experiment to investigate long-term hydroclimate and precipitation isotope changes in the IPWP during the last deglaciation, and their response to different climate forcings (sea level and ice sheet, greenhouse gases, orbital forcing, and meltwater flux). The simulations suggest land-sea configuration as the main factor driving long-term hydroclimate and precipitation isotope changes. The exposure of NW Australian shelf (before 14 ka) excited Bjerknes feedbacks across the equatorial Indian Ocean (IO), leading to a warm/wet western IO and cool/dry eastern IO dipole pattern, with overall drying and more enriched precipitation isotopic compositions over the Maritime Continent. However, the exposed Sunda Shelf and the main body of Sahul Shelf (before 12 ka) experienced locally dry conditions but more depleted precipitation isotopic compositions. Greenhouse gases and orbital forcing contribute to a weaker hydroclimate dipole pattern that opposes the effects of NW Australian shelf exposure. Different regions within the IPWP have different simulated sensitivities to these forcings. The heterogeneous responses of precipitation to different forcings across the Maritime Continent and location-dependent relationships between precipitation and its isotopic composition result from a variety of regional climatological processes and may explain the heterogeneity of isotopic records of hydroclimate around the IPWP.","author":[{"dropping-particle":"","family":"Du","given":"Xiaojing","non-dropping-particle":"","parse-names":false,"suffix":""},{"dropping-particle":"","family":"Russell","given":"James M.","non-dropping-particle":"","parse-names":false,"suffix":""},{"dropping-particle":"","family":"Liu","given":"Zhengyu","non-dropping-particle":"","parse-names":false,"suffix":""},{"dropping-particle":"","family":"Otto-Bliesner","given":"Bette L.","non-dropping-particle":"","parse-names":false,"suffix":""},{"dropping-particle":"","family":"Gao","given":"Yu","non-dropping-particle":"","parse-names":false,"suffix":""},{"dropping-particle":"","family":"Zhu","given":"Chenyu","non-dropping-particle":"","parse-names":false,"suffix":""},{"dropping-particle":"","family":"Oppo","given":"Delia W.","non-dropping-particle":"","parse-names":false,"suffix":""},{"dropping-particle":"","family":"Mohtadi","given":"Mahyar","non-dropping-particle":"","parse-names":false,"suffix":""},{"dropping-particle":"","family":"Yan","given":"Yan","non-dropping-particle":"","parse-names":false,"suffix":""},{"dropping-particle":"V.","family":"Galy","given":"Valier","non-dropping-particle":"","parse-names":false,"suffix":""},{"dropping-particle":"","family":"He","given":"Chengfei","non-dropping-particle":"","parse-names":false,"suffix":""}],"container-title":"Quaternary Science Reviews","id":"ITEM-1","issued":{"date-parts":[["2021"]]},"page":"107188","publisher":"Elsevier Ltd","title":"Deglacial trends in Indo-Pacific warm pool hydroclimate in an isotope-enabled Earth system model and implications for isotope-based paleoclimate reconstructions","type":"article-journal","volume":"270"},"uris":["http://www.mendeley.com/documents/?uuid=348e4c1f-77bd-4e2a-af81-b98f5e256662"]},{"id":"ITEM-2","itemData":{"DOI":"10.1038/s41467-021-26106-0","ISSN":"2041-1723","PMID":"34620854","abstract":"The deglacial hydroclimate in South China remains a long-standing topic of debate due to the lack of reliable moisture proxies and inconsistent model simulations. A recent hydroclimate proxy suggests that South China became wet in cold stadials during the last deglaciation, with the intensification proposed to be contributed mostly by the East Asian summer monsoon (EASM). Here, based on a deglacial simulation in a state-of-the-art climate model that well reproduces the evolution of EASM, winter monsoon (EAWM) and the associated water isotopes in East Asia, we propose that the intensified hydroclimate in South China is also contributed heavily by the rainfall in autumn, during the transition between EASM and EAWM. The excessive rainfall in autumn results from the convergence between anomalous northerly wind due to amplified land-sea thermal contrast and anomalous southerly wind associated with the anticyclone over Western North Pacific, both of which are, in turn, forced by the slowdown of the Atlantic thermohaline circulation. Regardless the rainfall change, however, the modeled δ 18 O p remains largely unchanged in autumn. Our results provide new insights to East Asia monsoon associated with climate change in the North Atlantic.","author":[{"dropping-particle":"","family":"He","given":"Chengfei","non-dropping-particle":"","parse-names":false,"suffix":""},{"dropping-particle":"","family":"Liu","given":"Zhengyu","non-dropping-particle":"","parse-names":false,"suffix":""},{"dropping-particle":"","family":"Otto-Bliesner","given":"Bette L.","non-dropping-particle":"","parse-names":false,"suffix":""},{"dropping-particle":"","family":"Brady","given":"Esther C.","non-dropping-particle":"","parse-names":false,"suffix":""},{"dropping-particle":"","family":"Zhu","given":"Chenyu","non-dropping-particle":"","parse-names":false,"suffix":""},{"dropping-particle":"","family":"Tomas","given":"Robert","non-dropping-particle":"","parse-names":false,"suffix":""},{"dropping-particle":"","family":"Gu","given":"Sifan","non-dropping-particle":"","parse-names":false,"suffix":""},{"dropping-particle":"","family":"Han","given":"Jing","non-dropping-particle":"","parse-names":false,"suffix":""},{"dropping-particle":"","family":"Jin","given":"Yishuai","non-dropping-particle":"","parse-names":false,"suffix":""}],"container-title":"Nature Communications","id":"ITEM-2","issue":"1","issued":{"date-parts":[["2021","12","7"]]},"page":"5875","publisher":"Springer US","title":"Deglacial variability of South China hydroclimate heavily contributed by autumn rainfall","type":"article-journal","volume":"12"},"uris":["http://www.mendeley.com/documents/?uuid=a105dada-10ba-492a-b216-485aaabe87f2"]},{"id":"ITEM-3","itemData":{"DOI":"10.1029/2021GL096937","ISSN":"19448007","abstract":"Recent paleoclimate reconstructions have suggested millennial-scale variability in the Indo-Pacific Warm Pool region coincident with events of the last deglaciation. Here, we present a new stalagmite oxygen isotope record from northern Borneo, which today is located near the center of the region's mean annual intertropical convergence zone. The record spans the full deglaciation, and reveals for the first time distinct oxygen isotope variations at this location connected with the Bølling-Allerød onset and the Younger Dryas event. The full deglaciation in the Borneo stalagmite proxy reconstruction appears remarkably similar to a 20–11 ka transient simulation of rainfall over the area produced using the isotope-enabled Community Earth System Model. In this model, periods of weakened Atlantic Ocean meridional overturning circulation are associated with an anomalous Western North Pacific anticyclone, which is produced in boreal autumn and shifts south over Borneo during boreal winter, causing dry conditions.","author":[{"dropping-particle":"","family":"Buckingham","given":"F. L.","non-dropping-particle":"","parse-names":false,"suffix":""},{"dropping-particle":"","family":"Carolin","given":"S. A.","non-dropping-particle":"","parse-names":false,"suffix":""},{"dropping-particle":"","family":"Partin","given":"J. W.","non-dropping-particle":"","parse-names":false,"suffix":""},{"dropping-particle":"","family":"Adkins","given":"J. F.","non-dropping-particle":"","parse-names":false,"suffix":""},{"dropping-particle":"","family":"Cobb","given":"K. M.","non-dropping-particle":"","parse-names":false,"suffix":""},{"dropping-particle":"","family":"Day","given":"C. C.","non-dropping-particle":"","parse-names":false,"suffix":""},{"dropping-particle":"","family":"Ding","given":"Q.","non-dropping-particle":"","parse-names":false,"suffix":""},{"dropping-particle":"","family":"He","given":"C.","non-dropping-particle":"","parse-names":false,"suffix":""},{"dropping-particle":"","family":"Liu","given":"Z.","non-dropping-particle":"","parse-names":false,"suffix":""},{"dropping-particle":"","family":"Otto-Bliesner","given":"B.","non-dropping-particle":"","parse-names":false,"suffix":""},{"dropping-particle":"","family":"Roberts","given":"W. H.G.","non-dropping-particle":"","parse-names":false,"suffix":""},{"dropping-particle":"","family":"Lejau","given":"S.","non-dropping-particle":"","parse-names":false,"suffix":""},{"dropping-particle":"","family":"Malang","given":"J.","non-dropping-particle":"","parse-names":false,"suffix":""}],"container-title":"Geophysical Research Letters","id":"ITEM-3","issue":"5","issued":{"date-parts":[["2022"]]},"page":"1-10","title":"Termination 1 Millennial-Scale Rainfall Events Over the Sunda Shelf","type":"article-journal","volume":"49"},"uris":["http://www.mendeley.com/documents/?uuid=ae2d1db9-5b46-446f-adbe-c0f9662ff5c3"]}],"mendeley":{"formattedCitation":"(2, 20, 21)","plainTextFormattedCitation":"(2, 20, 21)","previouslyFormattedCitation":"(2, 20, 21)"},"properties":{"noteIndex":0},"schema":"https://github.com/citation-style-language/schema/raw/master/csl-citation.json"}</w:instrText>
      </w:r>
      <w:r w:rsidRPr="00730E47">
        <w:rPr>
          <w:rFonts w:ascii="Arial" w:hAnsi="Arial" w:cs="Arial"/>
          <w:sz w:val="20"/>
          <w:szCs w:val="20"/>
        </w:rPr>
        <w:fldChar w:fldCharType="separate"/>
      </w:r>
      <w:r w:rsidRPr="00730E47">
        <w:rPr>
          <w:rFonts w:ascii="Arial" w:hAnsi="Arial" w:cs="Arial"/>
          <w:noProof/>
          <w:sz w:val="20"/>
          <w:szCs w:val="20"/>
        </w:rPr>
        <w:t>(2, 20, 21)</w:t>
      </w:r>
      <w:r w:rsidRPr="00730E47">
        <w:rPr>
          <w:rFonts w:ascii="Arial" w:hAnsi="Arial" w:cs="Arial"/>
          <w:sz w:val="20"/>
          <w:szCs w:val="20"/>
        </w:rPr>
        <w:fldChar w:fldCharType="end"/>
      </w:r>
      <w:r w:rsidRPr="00730E47">
        <w:rPr>
          <w:rFonts w:ascii="Arial" w:hAnsi="Arial" w:cs="Arial"/>
          <w:sz w:val="20"/>
          <w:szCs w:val="20"/>
        </w:rPr>
        <w:t>. Modelled precipitation from 20, 16 and 11 ka show similar spatial patterns when compared to present day precipitation (Figures S7, S10 – S14).</w:t>
      </w:r>
    </w:p>
    <w:p w14:paraId="0A9C4385" w14:textId="7C2D0294"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Summed probability distribution function of change points from continuous proxy records show few change points identified as a change to decreasing conditions </w:t>
      </w:r>
      <w:r w:rsidRPr="00730E47">
        <w:rPr>
          <w:rFonts w:ascii="Arial" w:hAnsi="Arial" w:cs="Arial"/>
          <w:sz w:val="20"/>
          <w:szCs w:val="20"/>
        </w:rPr>
        <w:t>in either temperature, precipitation, or CO</w:t>
      </w:r>
      <w:r w:rsidRPr="00730E47">
        <w:rPr>
          <w:rFonts w:ascii="Arial" w:hAnsi="Arial" w:cs="Arial"/>
          <w:sz w:val="20"/>
          <w:szCs w:val="20"/>
          <w:vertAlign w:val="subscript"/>
        </w:rPr>
        <w:t>2</w:t>
      </w:r>
      <w:r w:rsidRPr="00730E47">
        <w:rPr>
          <w:rFonts w:ascii="Arial" w:hAnsi="Arial" w:cs="Arial"/>
          <w:sz w:val="20"/>
          <w:szCs w:val="20"/>
          <w:lang w:val="en-US"/>
        </w:rPr>
        <w:t xml:space="preserve"> </w:t>
      </w:r>
      <w:r w:rsidRPr="00730E47">
        <w:rPr>
          <w:rFonts w:ascii="Arial" w:hAnsi="Arial" w:cs="Arial"/>
          <w:sz w:val="20"/>
          <w:szCs w:val="20"/>
        </w:rPr>
        <w:t>as defined by Cadd et al. (4)</w:t>
      </w:r>
      <w:r w:rsidRPr="00730E47">
        <w:rPr>
          <w:rFonts w:ascii="Arial" w:hAnsi="Arial" w:cs="Arial"/>
          <w:sz w:val="20"/>
          <w:szCs w:val="20"/>
          <w:lang w:val="en-US"/>
        </w:rPr>
        <w:t xml:space="preserve"> (Figure S6). Changepoints identified as a change to increasing conditions </w:t>
      </w:r>
      <w:r w:rsidRPr="00730E47">
        <w:rPr>
          <w:rFonts w:ascii="Arial" w:hAnsi="Arial" w:cs="Arial"/>
          <w:sz w:val="20"/>
          <w:szCs w:val="20"/>
        </w:rPr>
        <w:t>in either temperature, precipitation, and CO</w:t>
      </w:r>
      <w:r w:rsidRPr="00730E47">
        <w:rPr>
          <w:rFonts w:ascii="Arial" w:hAnsi="Arial" w:cs="Arial"/>
          <w:sz w:val="20"/>
          <w:szCs w:val="20"/>
          <w:vertAlign w:val="subscript"/>
        </w:rPr>
        <w:t xml:space="preserve">2 </w:t>
      </w:r>
      <w:r w:rsidRPr="00730E47">
        <w:rPr>
          <w:rFonts w:ascii="Arial" w:hAnsi="Arial" w:cs="Arial"/>
          <w:sz w:val="20"/>
          <w:szCs w:val="20"/>
        </w:rPr>
        <w:t>as defined by Cadd et al. (4)</w:t>
      </w:r>
      <w:r w:rsidRPr="00730E47">
        <w:rPr>
          <w:rFonts w:ascii="Arial" w:hAnsi="Arial" w:cs="Arial"/>
          <w:sz w:val="20"/>
          <w:szCs w:val="20"/>
          <w:vertAlign w:val="subscript"/>
        </w:rPr>
        <w:t xml:space="preserve"> </w:t>
      </w:r>
      <w:r w:rsidRPr="00730E47">
        <w:rPr>
          <w:rFonts w:ascii="Arial" w:hAnsi="Arial" w:cs="Arial"/>
          <w:sz w:val="20"/>
          <w:szCs w:val="20"/>
          <w:lang w:val="en-US"/>
        </w:rPr>
        <w:t>occur consistently throughout the period 8 – 22 ka, recording a broad peak from 17.5 – 12 ka and a secondary peak at 10 – 11 ka (Figure S6). The broad peak suggests the time period of changes towards increasing conditions in the majority of records coincides with substantial increases in temperature, precipitation and CO</w:t>
      </w:r>
      <w:r w:rsidRPr="00730E47">
        <w:rPr>
          <w:rFonts w:ascii="Arial" w:hAnsi="Arial" w:cs="Arial"/>
          <w:sz w:val="20"/>
          <w:szCs w:val="20"/>
          <w:vertAlign w:val="subscript"/>
          <w:lang w:val="en-US"/>
        </w:rPr>
        <w:t xml:space="preserve">2 </w:t>
      </w:r>
      <w:r w:rsidRPr="00730E47">
        <w:rPr>
          <w:rFonts w:ascii="Arial" w:hAnsi="Arial" w:cs="Arial"/>
          <w:sz w:val="20"/>
          <w:szCs w:val="20"/>
          <w:lang w:val="en-US"/>
        </w:rPr>
        <w:t>concentrations (Figure S6). CO</w:t>
      </w:r>
      <w:r w:rsidRPr="00730E47">
        <w:rPr>
          <w:rFonts w:ascii="Arial" w:hAnsi="Arial" w:cs="Arial"/>
          <w:sz w:val="20"/>
          <w:szCs w:val="20"/>
          <w:vertAlign w:val="subscript"/>
        </w:rPr>
        <w:t>2</w:t>
      </w:r>
      <w:r w:rsidRPr="00730E47">
        <w:rPr>
          <w:rFonts w:ascii="Arial" w:hAnsi="Arial" w:cs="Arial"/>
          <w:sz w:val="20"/>
          <w:szCs w:val="20"/>
          <w:lang w:val="en-US"/>
        </w:rPr>
        <w:t xml:space="preserve"> concentrations were low during the LGM, fluctuating between ~180 – 195 ppm until a sustained increase throughout the terminal Pleistocene. Beginning at 17.3 ka, CO</w:t>
      </w:r>
      <w:r w:rsidRPr="00730E47">
        <w:rPr>
          <w:rFonts w:ascii="Arial" w:hAnsi="Arial" w:cs="Arial"/>
          <w:sz w:val="20"/>
          <w:szCs w:val="20"/>
          <w:vertAlign w:val="subscript"/>
          <w:lang w:val="en-US"/>
        </w:rPr>
        <w:t>2</w:t>
      </w:r>
      <w:r w:rsidRPr="00730E47">
        <w:rPr>
          <w:rFonts w:ascii="Arial" w:hAnsi="Arial" w:cs="Arial"/>
          <w:sz w:val="20"/>
          <w:szCs w:val="20"/>
          <w:lang w:val="en-US"/>
        </w:rPr>
        <w:t xml:space="preserve"> values had reached 220 ppm by 16 ka, 230 ppm by 14.5 and were &gt;260 ppm by 11.5 ka. </w:t>
      </w:r>
      <w:bookmarkStart w:id="13" w:name="_Hlk125631588"/>
      <w:r w:rsidRPr="00730E47">
        <w:rPr>
          <w:rFonts w:ascii="Arial" w:hAnsi="Arial" w:cs="Arial"/>
          <w:sz w:val="20"/>
          <w:szCs w:val="20"/>
          <w:lang w:val="en-US"/>
        </w:rPr>
        <w:t>A sustained &gt;3</w:t>
      </w:r>
      <w:r w:rsidRPr="00730E47">
        <w:rPr>
          <w:rFonts w:ascii="Arial" w:hAnsi="Arial" w:cs="Arial"/>
          <w:sz w:val="20"/>
          <w:szCs w:val="20"/>
          <w:vertAlign w:val="superscript"/>
          <w:lang w:val="en-US"/>
        </w:rPr>
        <w:t xml:space="preserve"> o</w:t>
      </w:r>
      <w:r w:rsidRPr="00730E47">
        <w:rPr>
          <w:rFonts w:ascii="Arial" w:hAnsi="Arial" w:cs="Arial"/>
          <w:sz w:val="20"/>
          <w:szCs w:val="20"/>
          <w:lang w:val="en-US"/>
        </w:rPr>
        <w:t xml:space="preserve">C increase in temperature and &gt;100 mm increase in precipitation occurs </w:t>
      </w:r>
      <w:r w:rsidR="00575043">
        <w:rPr>
          <w:rFonts w:ascii="Arial" w:hAnsi="Arial" w:cs="Arial"/>
          <w:sz w:val="20"/>
          <w:szCs w:val="20"/>
          <w:lang w:val="en-US"/>
        </w:rPr>
        <w:t xml:space="preserve">across the locations of pollen proxy records </w:t>
      </w:r>
      <w:r w:rsidRPr="00730E47">
        <w:rPr>
          <w:rFonts w:ascii="Arial" w:hAnsi="Arial" w:cs="Arial"/>
          <w:sz w:val="20"/>
          <w:szCs w:val="20"/>
          <w:lang w:val="en-US"/>
        </w:rPr>
        <w:t>from 18 ka. The sustained increase in temperature, precipitation and CO</w:t>
      </w:r>
      <w:r w:rsidRPr="00730E47">
        <w:rPr>
          <w:rFonts w:ascii="Arial" w:hAnsi="Arial" w:cs="Arial"/>
          <w:sz w:val="20"/>
          <w:szCs w:val="20"/>
          <w:vertAlign w:val="subscript"/>
          <w:lang w:val="en-US"/>
        </w:rPr>
        <w:t>2</w:t>
      </w:r>
      <w:r w:rsidRPr="00730E47">
        <w:rPr>
          <w:rFonts w:ascii="Arial" w:hAnsi="Arial" w:cs="Arial"/>
          <w:sz w:val="20"/>
          <w:szCs w:val="20"/>
          <w:lang w:val="en-US"/>
        </w:rPr>
        <w:t xml:space="preserve"> after 18 ka coincides with the increase in changepoints recording changes to arboreal vegetation, suggesting the changes documented in many of these records are likely influenced by a combination of temperature, precipitation and changing CO</w:t>
      </w:r>
      <w:r w:rsidRPr="00730E47">
        <w:rPr>
          <w:rFonts w:ascii="Arial" w:hAnsi="Arial" w:cs="Arial"/>
          <w:sz w:val="20"/>
          <w:szCs w:val="20"/>
          <w:vertAlign w:val="subscript"/>
          <w:lang w:val="en-US"/>
        </w:rPr>
        <w:t>2</w:t>
      </w:r>
      <w:r w:rsidRPr="00730E47">
        <w:rPr>
          <w:rFonts w:ascii="Arial" w:hAnsi="Arial" w:cs="Arial"/>
          <w:sz w:val="20"/>
          <w:szCs w:val="20"/>
          <w:lang w:val="en-US"/>
        </w:rPr>
        <w:t xml:space="preserve"> concentrations. </w:t>
      </w:r>
      <w:bookmarkEnd w:id="13"/>
      <w:r w:rsidRPr="00730E47">
        <w:rPr>
          <w:rFonts w:ascii="Arial" w:hAnsi="Arial" w:cs="Arial"/>
          <w:sz w:val="20"/>
          <w:szCs w:val="20"/>
          <w:lang w:val="en-US"/>
        </w:rPr>
        <w:t>It is notable that changepoints towards increasing conditions decline following the Antarctic Cold Reversal (ACR, from 14.7 – 13 ka).</w:t>
      </w:r>
    </w:p>
    <w:p w14:paraId="27D6E8E9" w14:textId="4CE2F7EF" w:rsidR="00730E47" w:rsidRPr="00730E47" w:rsidRDefault="00730E47" w:rsidP="00730E47">
      <w:pPr>
        <w:pStyle w:val="Papertext"/>
        <w:rPr>
          <w:rFonts w:ascii="Arial" w:hAnsi="Arial" w:cs="Arial"/>
          <w:sz w:val="20"/>
          <w:szCs w:val="20"/>
        </w:rPr>
      </w:pPr>
      <w:r w:rsidRPr="00730E47">
        <w:rPr>
          <w:rFonts w:ascii="Arial" w:hAnsi="Arial" w:cs="Arial"/>
          <w:sz w:val="20"/>
          <w:szCs w:val="20"/>
        </w:rPr>
        <w:lastRenderedPageBreak/>
        <w:t>Modelled temperature from both the Murray-Darling and Lake Eyre basins shows similar trends across the 11 – 20 ka period (Figure S4). Lower temperatures are modelled from 20 to 18 ka, after which an increase of 3 – 6°C occurs between 18 – 12 ka. Modern (1961 – 1990) mean temperature is slightly lower than modelled temperatures at the beginning of the Holocene in both basins. Modelled precipitation also displays similar trends across both basins, suggesting higher precipitation from 17.5 – 14.7 ka before a decline at 14.7ka. Average modern decadal precipitation within the MDB is higher than the majority of modelled decadal values from 20 – 11ka, however the lowest standard deviation values fall within the range of variability of decades with the highest precipitation. Average modern precipitation in the LEB is lower than the variability at any point from 20 – 11 ka, however modern upper standard deviations are within the range of variability modelled during the ACR at 14.2 – 14 ka (Figure S4</w:t>
      </w:r>
      <w:r w:rsidR="00575043" w:rsidRPr="00575043">
        <w:rPr>
          <w:rFonts w:ascii="Arial" w:hAnsi="Arial" w:cs="Arial"/>
          <w:sz w:val="20"/>
          <w:szCs w:val="20"/>
        </w:rPr>
        <w:t>). An increase in change-points to decreased arboreal vegetation is not recorded during the ACR, suggesting that vegetation remained stable during this period.</w:t>
      </w:r>
    </w:p>
    <w:p w14:paraId="66D9F59A" w14:textId="5760BEE5" w:rsidR="00730E47" w:rsidRDefault="00730E47" w:rsidP="00730E47">
      <w:pPr>
        <w:pStyle w:val="Papertext"/>
        <w:rPr>
          <w:rFonts w:ascii="Arial" w:hAnsi="Arial" w:cs="Arial"/>
          <w:sz w:val="20"/>
          <w:szCs w:val="20"/>
        </w:rPr>
      </w:pPr>
      <w:r w:rsidRPr="00730E47">
        <w:rPr>
          <w:rFonts w:ascii="Arial" w:hAnsi="Arial" w:cs="Arial"/>
          <w:sz w:val="20"/>
          <w:szCs w:val="20"/>
        </w:rPr>
        <w:t xml:space="preserve">Kernel density estimates (KDEs) of fluvial overbank and channel facies display similar patterns within the LEB, with both recording </w:t>
      </w:r>
      <w:r w:rsidR="00575043">
        <w:rPr>
          <w:rFonts w:ascii="Arial" w:hAnsi="Arial" w:cs="Arial"/>
          <w:sz w:val="20"/>
          <w:szCs w:val="20"/>
        </w:rPr>
        <w:t xml:space="preserve">their </w:t>
      </w:r>
      <w:r w:rsidRPr="00730E47">
        <w:rPr>
          <w:rFonts w:ascii="Arial" w:hAnsi="Arial" w:cs="Arial"/>
          <w:sz w:val="20"/>
          <w:szCs w:val="20"/>
        </w:rPr>
        <w:t xml:space="preserve">highest number of ages between 19 – 17 ka (Figure S4). Beach and shoreline ages are low throughout the entire 20 – 11 ka period within the LEB. In the MDB beach and shoreline ages are highest (in density) from 20 – 18 ka before steadily dropping to a minimum at 11 ka (Figure S4). Fluvial channel ages record an increase from 20 – 17 ka before a decline and rise in ages again from 14 – 12 ka. Overbank records within the MDB show a similar but lower and more muted trend to the channel facies ages. The highest values in </w:t>
      </w:r>
      <w:r w:rsidR="00575043">
        <w:rPr>
          <w:rFonts w:ascii="Arial" w:hAnsi="Arial" w:cs="Arial"/>
          <w:sz w:val="20"/>
          <w:szCs w:val="20"/>
        </w:rPr>
        <w:t>the</w:t>
      </w:r>
      <w:r w:rsidRPr="00730E47">
        <w:rPr>
          <w:rFonts w:ascii="Arial" w:hAnsi="Arial" w:cs="Arial"/>
          <w:sz w:val="20"/>
          <w:szCs w:val="20"/>
        </w:rPr>
        <w:t xml:space="preserve"> MDB are seen when temperatures are lowest, between 20 – 17.5 ka. </w:t>
      </w:r>
      <w:r w:rsidR="00575043">
        <w:rPr>
          <w:rFonts w:ascii="Arial" w:hAnsi="Arial" w:cs="Arial"/>
          <w:sz w:val="20"/>
          <w:szCs w:val="20"/>
        </w:rPr>
        <w:t xml:space="preserve">Higher lake levels and fluvial discharge in the MDB has previously been interpreted to reflect greater seasonal run-off. </w:t>
      </w:r>
      <w:r w:rsidRPr="00730E47">
        <w:rPr>
          <w:rFonts w:ascii="Arial" w:hAnsi="Arial" w:cs="Arial"/>
          <w:sz w:val="20"/>
          <w:szCs w:val="20"/>
        </w:rPr>
        <w:t xml:space="preserve">Cooler temperatures, particularly in the headwaters of the Murray-Darling catchment, could result in greater snowfall and therefore greater discharge volumes through these river systems during periods of spring or summer melt. Modelled seasonal temperature suggest the largest change in temperature occurred during Austral Autumn (MAM), potentially increasing the length of annual snowfall and subsequent volumes of snow melt (Figure S8 – S14). </w:t>
      </w:r>
      <w:r w:rsidR="00DF5739">
        <w:rPr>
          <w:rFonts w:ascii="Arial" w:hAnsi="Arial" w:cs="Arial"/>
          <w:sz w:val="20"/>
          <w:szCs w:val="20"/>
        </w:rPr>
        <w:t>Alternatively higher precipitation in some regions of the basin or reduced evaporation would result in g</w:t>
      </w:r>
      <w:r w:rsidRPr="00730E47">
        <w:rPr>
          <w:rFonts w:ascii="Arial" w:hAnsi="Arial" w:cs="Arial"/>
          <w:sz w:val="20"/>
          <w:szCs w:val="20"/>
        </w:rPr>
        <w:t xml:space="preserve">reater volumes of water entering the connected lacustrine systems of the </w:t>
      </w:r>
      <w:r w:rsidR="00DF5739">
        <w:rPr>
          <w:rFonts w:ascii="Arial" w:hAnsi="Arial" w:cs="Arial"/>
          <w:sz w:val="20"/>
          <w:szCs w:val="20"/>
        </w:rPr>
        <w:t>MDB</w:t>
      </w:r>
      <w:r w:rsidRPr="00730E47">
        <w:rPr>
          <w:rFonts w:ascii="Arial" w:hAnsi="Arial" w:cs="Arial"/>
          <w:sz w:val="20"/>
          <w:szCs w:val="20"/>
        </w:rPr>
        <w:t xml:space="preserve"> would lead to increased lake </w:t>
      </w:r>
      <w:r w:rsidR="00DF5739">
        <w:rPr>
          <w:rFonts w:ascii="Arial" w:hAnsi="Arial" w:cs="Arial"/>
          <w:sz w:val="20"/>
          <w:szCs w:val="20"/>
        </w:rPr>
        <w:t>and river levels.</w:t>
      </w:r>
    </w:p>
    <w:p w14:paraId="52B01359" w14:textId="77777777" w:rsidR="00730E47" w:rsidRPr="00730E47" w:rsidRDefault="00730E47" w:rsidP="00730E47">
      <w:pPr>
        <w:pStyle w:val="Paperheadings"/>
        <w:spacing w:after="0"/>
        <w:rPr>
          <w:rFonts w:ascii="Arial" w:hAnsi="Arial"/>
          <w:sz w:val="20"/>
          <w:szCs w:val="20"/>
        </w:rPr>
      </w:pPr>
      <w:r w:rsidRPr="00730E47">
        <w:rPr>
          <w:rFonts w:ascii="Arial" w:hAnsi="Arial"/>
          <w:sz w:val="20"/>
          <w:szCs w:val="20"/>
        </w:rPr>
        <w:t>Modern temperature and precipitation</w:t>
      </w:r>
    </w:p>
    <w:p w14:paraId="47E32795" w14:textId="33A908FD" w:rsidR="00730E47" w:rsidRPr="00730E47" w:rsidRDefault="00730E47" w:rsidP="00730E47">
      <w:pPr>
        <w:pStyle w:val="Papertext"/>
        <w:rPr>
          <w:rFonts w:ascii="Arial" w:hAnsi="Arial" w:cs="Arial"/>
          <w:sz w:val="20"/>
          <w:szCs w:val="20"/>
          <w:lang w:val="en-US"/>
        </w:rPr>
      </w:pPr>
      <w:r w:rsidRPr="00730E47">
        <w:rPr>
          <w:rFonts w:ascii="Arial" w:hAnsi="Arial" w:cs="Arial"/>
          <w:sz w:val="20"/>
          <w:szCs w:val="20"/>
          <w:lang w:val="en-US"/>
        </w:rPr>
        <w:t xml:space="preserve">Modern average annual precipitation (mm/yr; 1980-2010) and average annual temperature (°C; 1961-1990) from Australia is shown in Figure 1 and Figure S7. Modern average annual precipitation across much of the continent is generally &lt;500 mm. Rainfall &gt;2500 mm per year is restricted to the northern monsoonal region, small portions of the east coast and western Tasmania. Average annual temperature north of 26°S is &gt;20°C while coastal regions south of 26°S, including Tasmania, have average annual temperatures &lt;20°C (Table 1). </w:t>
      </w:r>
    </w:p>
    <w:p w14:paraId="41565D83" w14:textId="335DC69B" w:rsidR="001C0975" w:rsidRPr="00730E47" w:rsidRDefault="00730E47" w:rsidP="00730E47">
      <w:pPr>
        <w:pStyle w:val="Papertext"/>
        <w:rPr>
          <w:rFonts w:ascii="Arial" w:hAnsi="Arial" w:cs="Arial"/>
          <w:sz w:val="20"/>
          <w:szCs w:val="20"/>
        </w:rPr>
      </w:pPr>
      <w:r w:rsidRPr="00730E47">
        <w:rPr>
          <w:rFonts w:ascii="Arial" w:hAnsi="Arial" w:cs="Arial"/>
          <w:sz w:val="20"/>
          <w:szCs w:val="20"/>
        </w:rPr>
        <w:t xml:space="preserve">Present-day Australian climate in the southern regions is broadly characterised by dry and warm to hot summers (DJF) and wet and cold to cool winters (JJA). Northern Australia is dominated by wet and warm to hot summers (DJF) and dry and mild to warm winters (JJA). Boundary seasons, </w:t>
      </w:r>
      <w:r w:rsidRPr="00730E47">
        <w:rPr>
          <w:rFonts w:ascii="Arial" w:hAnsi="Arial" w:cs="Arial"/>
          <w:sz w:val="20"/>
          <w:szCs w:val="20"/>
        </w:rPr>
        <w:lastRenderedPageBreak/>
        <w:t>Autumn (MAM) and Spring (SON), are characterised by transitional climates. Modern and iTRACE derived average daily temperature (</w:t>
      </w:r>
      <w:r w:rsidRPr="00730E47">
        <w:rPr>
          <w:rFonts w:ascii="Arial" w:hAnsi="Arial" w:cs="Arial"/>
          <w:sz w:val="20"/>
          <w:szCs w:val="20"/>
          <w:vertAlign w:val="superscript"/>
        </w:rPr>
        <w:t>o</w:t>
      </w:r>
      <w:r w:rsidRPr="00730E47">
        <w:rPr>
          <w:rFonts w:ascii="Arial" w:hAnsi="Arial" w:cs="Arial"/>
          <w:sz w:val="20"/>
          <w:szCs w:val="20"/>
        </w:rPr>
        <w:t xml:space="preserve">C) and precipitation (mm/season) for each season; summer (DJF), autumn (MAM), winter (JJA) and spring (SON) are shown in Figures S7 – S14. </w:t>
      </w:r>
    </w:p>
    <w:p w14:paraId="08CAAD74" w14:textId="77777777" w:rsidR="005D088E" w:rsidRPr="00DC623A" w:rsidRDefault="005D088E" w:rsidP="001C0975">
      <w:pPr>
        <w:pStyle w:val="SMText"/>
        <w:ind w:firstLine="0"/>
        <w:rPr>
          <w:rFonts w:ascii="Arial" w:hAnsi="Arial" w:cs="Arial"/>
          <w:sz w:val="20"/>
        </w:rPr>
      </w:pPr>
    </w:p>
    <w:p w14:paraId="693DC38C" w14:textId="0183C793" w:rsidR="00730E47" w:rsidRDefault="00730E47" w:rsidP="00B42F9C">
      <w:pPr>
        <w:pStyle w:val="SMHeading"/>
        <w:rPr>
          <w:rFonts w:ascii="Arial" w:hAnsi="Arial" w:cs="Arial"/>
          <w:sz w:val="20"/>
          <w:szCs w:val="20"/>
        </w:rPr>
      </w:pPr>
      <w:r>
        <w:rPr>
          <w:noProof/>
        </w:rPr>
        <w:drawing>
          <wp:inline distT="0" distB="0" distL="0" distR="0" wp14:anchorId="378C1397" wp14:editId="50BE8641">
            <wp:extent cx="5486400" cy="336600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66006"/>
                    </a:xfrm>
                    <a:prstGeom prst="rect">
                      <a:avLst/>
                    </a:prstGeom>
                    <a:noFill/>
                    <a:ln>
                      <a:noFill/>
                    </a:ln>
                  </pic:spPr>
                </pic:pic>
              </a:graphicData>
            </a:graphic>
          </wp:inline>
        </w:drawing>
      </w:r>
    </w:p>
    <w:p w14:paraId="4E4ED6CB" w14:textId="0D341296" w:rsidR="00015F74" w:rsidRPr="00DC623A" w:rsidRDefault="007411A1" w:rsidP="00B42F9C">
      <w:pPr>
        <w:pStyle w:val="SMHeading"/>
        <w:rPr>
          <w:rFonts w:ascii="Arial" w:hAnsi="Arial" w:cs="Arial"/>
          <w:b w:val="0"/>
          <w:sz w:val="20"/>
          <w:szCs w:val="20"/>
        </w:rPr>
      </w:pPr>
      <w:r w:rsidRPr="00DC623A">
        <w:rPr>
          <w:rFonts w:ascii="Arial" w:hAnsi="Arial" w:cs="Arial"/>
          <w:sz w:val="20"/>
          <w:szCs w:val="20"/>
        </w:rPr>
        <w:t>Fig. S1.</w:t>
      </w:r>
      <w:r w:rsidR="00B42F9C" w:rsidRPr="00DC623A">
        <w:rPr>
          <w:rFonts w:ascii="Arial" w:hAnsi="Arial" w:cs="Arial"/>
          <w:sz w:val="20"/>
          <w:szCs w:val="20"/>
        </w:rPr>
        <w:t xml:space="preserve"> </w:t>
      </w:r>
      <w:r w:rsidR="00730E47" w:rsidRPr="00730E47">
        <w:rPr>
          <w:rFonts w:ascii="Arial" w:hAnsi="Arial" w:cs="Arial"/>
          <w:b w:val="0"/>
          <w:bCs w:val="0"/>
          <w:sz w:val="20"/>
          <w:szCs w:val="20"/>
        </w:rPr>
        <w:t>Map of Australia showing</w:t>
      </w:r>
      <w:r w:rsidR="00D66A63">
        <w:rPr>
          <w:rFonts w:ascii="Arial" w:hAnsi="Arial" w:cs="Arial"/>
          <w:b w:val="0"/>
          <w:bCs w:val="0"/>
          <w:sz w:val="20"/>
          <w:szCs w:val="20"/>
        </w:rPr>
        <w:t xml:space="preserve"> site locations of proxy records used in analysis and</w:t>
      </w:r>
      <w:r w:rsidR="00730E47" w:rsidRPr="00730E47">
        <w:rPr>
          <w:rFonts w:ascii="Arial" w:hAnsi="Arial" w:cs="Arial"/>
          <w:b w:val="0"/>
          <w:bCs w:val="0"/>
          <w:sz w:val="20"/>
          <w:szCs w:val="20"/>
        </w:rPr>
        <w:t xml:space="preserve"> major drainage basins discussed in manuscript.</w:t>
      </w:r>
    </w:p>
    <w:p w14:paraId="419317AB" w14:textId="384DA219" w:rsidR="00730E47" w:rsidRDefault="00730E47">
      <w:pPr>
        <w:rPr>
          <w:rFonts w:ascii="Arial" w:hAnsi="Arial" w:cs="Arial"/>
          <w:sz w:val="20"/>
        </w:rPr>
      </w:pPr>
      <w:r>
        <w:rPr>
          <w:rFonts w:ascii="Arial" w:hAnsi="Arial" w:cs="Arial"/>
          <w:sz w:val="20"/>
        </w:rPr>
        <w:br w:type="page"/>
      </w:r>
    </w:p>
    <w:p w14:paraId="2E8D9E6A" w14:textId="77777777" w:rsidR="00730E47" w:rsidRPr="00730E47" w:rsidRDefault="00730E47" w:rsidP="00730E47">
      <w:pPr>
        <w:spacing w:after="160" w:line="259" w:lineRule="auto"/>
        <w:rPr>
          <w:rFonts w:ascii="Calibri" w:eastAsia="Calibri" w:hAnsi="Calibri"/>
          <w:sz w:val="22"/>
          <w:szCs w:val="22"/>
          <w:lang w:val="en-AU"/>
        </w:rPr>
      </w:pPr>
      <w:r w:rsidRPr="00730E47">
        <w:rPr>
          <w:rFonts w:ascii="Calibri" w:eastAsia="Calibri" w:hAnsi="Calibri"/>
          <w:noProof/>
          <w:sz w:val="22"/>
          <w:szCs w:val="22"/>
          <w:lang w:val="en-AU"/>
        </w:rPr>
        <w:lastRenderedPageBreak/>
        <w:drawing>
          <wp:inline distT="0" distB="0" distL="0" distR="0" wp14:anchorId="435BA5E4" wp14:editId="2DF7E45C">
            <wp:extent cx="5918764" cy="471010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918764" cy="4710105"/>
                    </a:xfrm>
                    <a:prstGeom prst="rect">
                      <a:avLst/>
                    </a:prstGeom>
                    <a:noFill/>
                    <a:ln>
                      <a:noFill/>
                    </a:ln>
                  </pic:spPr>
                </pic:pic>
              </a:graphicData>
            </a:graphic>
          </wp:inline>
        </w:drawing>
      </w:r>
    </w:p>
    <w:p w14:paraId="0A030C8C" w14:textId="6830CC23" w:rsidR="00730E47" w:rsidRPr="00730E47" w:rsidRDefault="00730E47" w:rsidP="00730E47">
      <w:pPr>
        <w:spacing w:after="160" w:line="259" w:lineRule="auto"/>
        <w:rPr>
          <w:rFonts w:ascii="Arial" w:eastAsia="Calibri" w:hAnsi="Arial" w:cs="Arial"/>
          <w:sz w:val="20"/>
          <w:lang w:val="en-AU"/>
        </w:rPr>
      </w:pPr>
      <w:r w:rsidRPr="00730E47">
        <w:rPr>
          <w:rFonts w:ascii="Arial" w:eastAsia="Calibri" w:hAnsi="Arial" w:cs="Arial"/>
          <w:b/>
          <w:bCs/>
          <w:sz w:val="20"/>
          <w:lang w:val="en-AU"/>
        </w:rPr>
        <w:t>Fig S2</w:t>
      </w:r>
      <w:r w:rsidRPr="00730E47">
        <w:rPr>
          <w:rFonts w:ascii="Arial" w:eastAsia="Calibri" w:hAnsi="Arial" w:cs="Arial"/>
          <w:sz w:val="20"/>
          <w:lang w:val="en-AU"/>
        </w:rPr>
        <w:t>. Grid cells of iTRACE temperature and precipitation outputs for the Murray-Darling Basin (MDB) shown in purple squares</w:t>
      </w:r>
      <w:r w:rsidR="00D66A63">
        <w:rPr>
          <w:rFonts w:ascii="Arial" w:eastAsia="Calibri" w:hAnsi="Arial" w:cs="Arial"/>
          <w:sz w:val="20"/>
          <w:lang w:val="en-AU"/>
        </w:rPr>
        <w:t xml:space="preserve"> and </w:t>
      </w:r>
      <w:r w:rsidRPr="00730E47">
        <w:rPr>
          <w:rFonts w:ascii="Arial" w:eastAsia="Calibri" w:hAnsi="Arial" w:cs="Arial"/>
          <w:sz w:val="20"/>
          <w:lang w:val="en-AU"/>
        </w:rPr>
        <w:t xml:space="preserve">the Lake Eyre Basin (LEB) shown in yellow squares used in Figure S3. The outline of the MBD and LEB are shown in black. Grid cells used to compare with speleothem data are shown in dark grey with the 4 speleothem records used for comparison shown as + symbols. </w:t>
      </w:r>
    </w:p>
    <w:p w14:paraId="320507A4" w14:textId="7B575576" w:rsidR="00730E47" w:rsidRDefault="00730E47">
      <w:pPr>
        <w:rPr>
          <w:rFonts w:ascii="Calibri" w:eastAsia="Calibri" w:hAnsi="Calibri"/>
          <w:sz w:val="22"/>
          <w:szCs w:val="22"/>
          <w:lang w:val="en-AU"/>
        </w:rPr>
      </w:pPr>
      <w:r>
        <w:rPr>
          <w:rFonts w:ascii="Calibri" w:eastAsia="Calibri" w:hAnsi="Calibri"/>
          <w:sz w:val="22"/>
          <w:szCs w:val="22"/>
          <w:lang w:val="en-AU"/>
        </w:rPr>
        <w:br w:type="page"/>
      </w:r>
    </w:p>
    <w:p w14:paraId="0602DB93" w14:textId="77777777" w:rsidR="00730E47" w:rsidRPr="00730E47" w:rsidRDefault="00730E47" w:rsidP="00730E47">
      <w:pPr>
        <w:spacing w:after="160" w:line="259" w:lineRule="auto"/>
        <w:rPr>
          <w:rFonts w:ascii="Calibri" w:eastAsia="Calibri" w:hAnsi="Calibri"/>
          <w:sz w:val="22"/>
          <w:szCs w:val="22"/>
          <w:lang w:val="en-AU"/>
        </w:rPr>
      </w:pPr>
      <w:r w:rsidRPr="00730E47">
        <w:rPr>
          <w:rFonts w:ascii="Calibri" w:eastAsia="Calibri" w:hAnsi="Calibri"/>
          <w:noProof/>
          <w:sz w:val="22"/>
          <w:szCs w:val="22"/>
          <w:lang w:val="en-AU"/>
        </w:rPr>
        <w:lastRenderedPageBreak/>
        <w:drawing>
          <wp:inline distT="0" distB="0" distL="0" distR="0" wp14:anchorId="1A0070AB" wp14:editId="506F2D92">
            <wp:extent cx="4518660" cy="75709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526134" cy="7583469"/>
                    </a:xfrm>
                    <a:prstGeom prst="rect">
                      <a:avLst/>
                    </a:prstGeom>
                    <a:noFill/>
                    <a:ln>
                      <a:noFill/>
                    </a:ln>
                  </pic:spPr>
                </pic:pic>
              </a:graphicData>
            </a:graphic>
          </wp:inline>
        </w:drawing>
      </w:r>
    </w:p>
    <w:p w14:paraId="57935419" w14:textId="0775D6F3" w:rsidR="00730E47" w:rsidRDefault="00730E47" w:rsidP="00730E47">
      <w:pPr>
        <w:spacing w:after="160" w:line="259" w:lineRule="auto"/>
        <w:rPr>
          <w:rFonts w:ascii="Arial" w:eastAsia="Calibri" w:hAnsi="Arial" w:cs="Arial"/>
          <w:sz w:val="20"/>
          <w:lang w:val="en-AU"/>
        </w:rPr>
      </w:pPr>
      <w:r w:rsidRPr="00730E47">
        <w:rPr>
          <w:rFonts w:ascii="Arial" w:eastAsia="Calibri" w:hAnsi="Arial" w:cs="Arial"/>
          <w:b/>
          <w:bCs/>
          <w:sz w:val="20"/>
          <w:lang w:val="en-AU"/>
        </w:rPr>
        <w:t>Fig S3</w:t>
      </w:r>
      <w:r w:rsidRPr="00730E47">
        <w:rPr>
          <w:rFonts w:ascii="Arial" w:eastAsia="Calibri" w:hAnsi="Arial" w:cs="Arial"/>
          <w:sz w:val="20"/>
          <w:lang w:val="en-AU"/>
        </w:rPr>
        <w:t xml:space="preserve">. iTrace precipitation outputs (grey lines) for grid cell locations of Australian speleothem records (coloured lines) between 11 – 20 ka. Site locations </w:t>
      </w:r>
      <w:r w:rsidR="00D66A63">
        <w:rPr>
          <w:rFonts w:ascii="Arial" w:eastAsia="Calibri" w:hAnsi="Arial" w:cs="Arial"/>
          <w:sz w:val="20"/>
          <w:lang w:val="en-AU"/>
        </w:rPr>
        <w:t xml:space="preserve">and grid cell locations </w:t>
      </w:r>
      <w:r w:rsidRPr="00730E47">
        <w:rPr>
          <w:rFonts w:ascii="Arial" w:eastAsia="Calibri" w:hAnsi="Arial" w:cs="Arial"/>
          <w:sz w:val="20"/>
          <w:lang w:val="en-AU"/>
        </w:rPr>
        <w:t>used in the analysis are shown in Fig</w:t>
      </w:r>
      <w:r w:rsidR="00D66A63">
        <w:rPr>
          <w:rFonts w:ascii="Arial" w:eastAsia="Calibri" w:hAnsi="Arial" w:cs="Arial"/>
          <w:sz w:val="20"/>
          <w:lang w:val="en-AU"/>
        </w:rPr>
        <w:t>ure</w:t>
      </w:r>
      <w:r w:rsidRPr="00730E47">
        <w:rPr>
          <w:rFonts w:ascii="Arial" w:eastAsia="Calibri" w:hAnsi="Arial" w:cs="Arial"/>
          <w:sz w:val="20"/>
          <w:lang w:val="en-AU"/>
        </w:rPr>
        <w:t xml:space="preserve"> S</w:t>
      </w:r>
      <w:r w:rsidR="00D66A63">
        <w:rPr>
          <w:rFonts w:ascii="Arial" w:eastAsia="Calibri" w:hAnsi="Arial" w:cs="Arial"/>
          <w:sz w:val="20"/>
          <w:lang w:val="en-AU"/>
        </w:rPr>
        <w:t>2</w:t>
      </w:r>
      <w:r w:rsidRPr="00730E47">
        <w:rPr>
          <w:rFonts w:ascii="Arial" w:eastAsia="Calibri" w:hAnsi="Arial" w:cs="Arial"/>
          <w:sz w:val="20"/>
          <w:lang w:val="en-AU"/>
        </w:rPr>
        <w:t>.</w:t>
      </w:r>
    </w:p>
    <w:p w14:paraId="568057FB" w14:textId="0D5EEC9F" w:rsidR="00730E47" w:rsidRPr="00730E47" w:rsidRDefault="00730E47" w:rsidP="00730E47">
      <w:pPr>
        <w:rPr>
          <w:rFonts w:ascii="Arial" w:eastAsia="Calibri" w:hAnsi="Arial" w:cs="Arial"/>
          <w:sz w:val="20"/>
          <w:lang w:val="en-AU"/>
        </w:rPr>
      </w:pPr>
      <w:r>
        <w:rPr>
          <w:rFonts w:ascii="Arial" w:eastAsia="Calibri" w:hAnsi="Arial" w:cs="Arial"/>
          <w:sz w:val="20"/>
          <w:lang w:val="en-AU"/>
        </w:rPr>
        <w:br w:type="page"/>
      </w:r>
      <w:r w:rsidRPr="00730E47">
        <w:rPr>
          <w:rFonts w:ascii="Calibri" w:eastAsia="Calibri" w:hAnsi="Calibri"/>
          <w:noProof/>
          <w:sz w:val="22"/>
          <w:szCs w:val="22"/>
          <w:lang w:val="en-AU"/>
        </w:rPr>
        <w:lastRenderedPageBreak/>
        <w:drawing>
          <wp:inline distT="0" distB="0" distL="0" distR="0" wp14:anchorId="7A074119" wp14:editId="03595612">
            <wp:extent cx="6054311" cy="39433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056709" cy="3944912"/>
                    </a:xfrm>
                    <a:prstGeom prst="rect">
                      <a:avLst/>
                    </a:prstGeom>
                    <a:noFill/>
                    <a:ln>
                      <a:noFill/>
                    </a:ln>
                  </pic:spPr>
                </pic:pic>
              </a:graphicData>
            </a:graphic>
          </wp:inline>
        </w:drawing>
      </w:r>
    </w:p>
    <w:p w14:paraId="14BC0FA1" w14:textId="77777777" w:rsidR="00730E47" w:rsidRPr="00730E47" w:rsidRDefault="00730E47" w:rsidP="00730E47">
      <w:pPr>
        <w:spacing w:after="160" w:line="259" w:lineRule="auto"/>
        <w:rPr>
          <w:rFonts w:ascii="Calibri" w:eastAsia="Calibri" w:hAnsi="Calibri"/>
          <w:sz w:val="22"/>
          <w:szCs w:val="22"/>
          <w:lang w:val="en-AU"/>
        </w:rPr>
      </w:pPr>
    </w:p>
    <w:p w14:paraId="0DB045FE" w14:textId="6EDC41B2" w:rsidR="00730E47" w:rsidRPr="00730E47" w:rsidRDefault="00730E47" w:rsidP="00730E47">
      <w:pPr>
        <w:spacing w:after="160" w:line="259" w:lineRule="auto"/>
        <w:rPr>
          <w:rFonts w:ascii="Arial" w:eastAsia="Calibri" w:hAnsi="Arial" w:cs="Arial"/>
          <w:sz w:val="20"/>
          <w:lang w:val="en-AU"/>
        </w:rPr>
      </w:pPr>
      <w:r w:rsidRPr="00F36E8E">
        <w:rPr>
          <w:rFonts w:ascii="Arial" w:eastAsia="Calibri" w:hAnsi="Arial" w:cs="Arial"/>
          <w:b/>
          <w:bCs/>
          <w:sz w:val="20"/>
          <w:lang w:val="en-AU"/>
        </w:rPr>
        <w:t>Fig</w:t>
      </w:r>
      <w:r w:rsidRPr="00730E47">
        <w:rPr>
          <w:rFonts w:ascii="Arial" w:eastAsia="Calibri" w:hAnsi="Arial" w:cs="Arial"/>
          <w:b/>
          <w:bCs/>
          <w:sz w:val="20"/>
          <w:lang w:val="en-AU"/>
        </w:rPr>
        <w:t xml:space="preserve"> S4</w:t>
      </w:r>
      <w:r w:rsidRPr="00730E47">
        <w:rPr>
          <w:rFonts w:ascii="Arial" w:eastAsia="Calibri" w:hAnsi="Arial" w:cs="Arial"/>
          <w:sz w:val="20"/>
          <w:lang w:val="en-AU"/>
        </w:rPr>
        <w:t>. iTrace temperature (top panel) and precipitation (middle panel) outputs from grid cells corresponding to the two largest river basins in Australia</w:t>
      </w:r>
      <w:r w:rsidR="00D66A63">
        <w:rPr>
          <w:rFonts w:ascii="Arial" w:eastAsia="Calibri" w:hAnsi="Arial" w:cs="Arial"/>
          <w:sz w:val="20"/>
          <w:lang w:val="en-AU"/>
        </w:rPr>
        <w:t xml:space="preserve"> </w:t>
      </w:r>
      <w:r w:rsidR="00D66A63" w:rsidRPr="00730E47">
        <w:rPr>
          <w:rFonts w:ascii="Arial" w:eastAsia="Calibri" w:hAnsi="Arial" w:cs="Arial"/>
          <w:sz w:val="20"/>
          <w:lang w:val="en-AU"/>
        </w:rPr>
        <w:t>(Figure S2)</w:t>
      </w:r>
      <w:r w:rsidRPr="00730E47">
        <w:rPr>
          <w:rFonts w:ascii="Arial" w:eastAsia="Calibri" w:hAnsi="Arial" w:cs="Arial"/>
          <w:sz w:val="20"/>
          <w:lang w:val="en-AU"/>
        </w:rPr>
        <w:t>, A. Lake Eyre Basin (LEB) and B. Murray Darling Basin (MDB). Modern (1900-2021) decadal average annual temperature and rainfall within each basin are shown in red (with error bars representing standard deviation). The bottom panel shows kernel density estimates KDE) of optically stimulated luminescence (OSL) and thermoluminescence (TL) ages from all beach/shoreline, channel and overbank geomorphological features dated within the LEB and MDB.</w:t>
      </w:r>
    </w:p>
    <w:p w14:paraId="3E79E515" w14:textId="77777777" w:rsidR="00730E47" w:rsidRPr="00730E47" w:rsidRDefault="00730E47" w:rsidP="00730E47">
      <w:pPr>
        <w:spacing w:after="160" w:line="259" w:lineRule="auto"/>
        <w:rPr>
          <w:rFonts w:ascii="Calibri" w:eastAsia="Calibri" w:hAnsi="Calibri"/>
          <w:sz w:val="22"/>
          <w:szCs w:val="22"/>
          <w:lang w:val="en-AU"/>
        </w:rPr>
      </w:pPr>
      <w:r w:rsidRPr="00730E47">
        <w:rPr>
          <w:rFonts w:ascii="Calibri" w:eastAsia="Calibri" w:hAnsi="Calibri"/>
          <w:noProof/>
          <w:sz w:val="22"/>
          <w:szCs w:val="22"/>
          <w:lang w:val="en-AU"/>
        </w:rPr>
        <w:lastRenderedPageBreak/>
        <w:drawing>
          <wp:inline distT="0" distB="0" distL="0" distR="0" wp14:anchorId="154798EE" wp14:editId="76C29243">
            <wp:extent cx="5574402" cy="4704050"/>
            <wp:effectExtent l="0" t="0" r="762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574402" cy="4704050"/>
                    </a:xfrm>
                    <a:prstGeom prst="rect">
                      <a:avLst/>
                    </a:prstGeom>
                    <a:noFill/>
                    <a:ln>
                      <a:noFill/>
                    </a:ln>
                  </pic:spPr>
                </pic:pic>
              </a:graphicData>
            </a:graphic>
          </wp:inline>
        </w:drawing>
      </w:r>
    </w:p>
    <w:p w14:paraId="65563F3A" w14:textId="6E9D2959" w:rsidR="00730E47" w:rsidRPr="00730E47" w:rsidRDefault="00F36E8E" w:rsidP="00730E47">
      <w:pPr>
        <w:spacing w:after="160" w:line="259" w:lineRule="auto"/>
        <w:rPr>
          <w:rFonts w:ascii="Arial" w:eastAsia="Calibri" w:hAnsi="Arial" w:cs="Arial"/>
          <w:sz w:val="20"/>
          <w:lang w:val="en-AU"/>
        </w:rPr>
      </w:pPr>
      <w:r w:rsidRPr="00F36E8E">
        <w:rPr>
          <w:rFonts w:ascii="Arial" w:eastAsia="Calibri" w:hAnsi="Arial" w:cs="Arial"/>
          <w:b/>
          <w:bCs/>
          <w:sz w:val="20"/>
          <w:lang w:val="en-AU"/>
        </w:rPr>
        <w:t>Fig</w:t>
      </w:r>
      <w:r w:rsidR="00730E47" w:rsidRPr="00730E47">
        <w:rPr>
          <w:rFonts w:ascii="Arial" w:eastAsia="Calibri" w:hAnsi="Arial" w:cs="Arial"/>
          <w:b/>
          <w:bCs/>
          <w:sz w:val="20"/>
          <w:lang w:val="en-AU"/>
        </w:rPr>
        <w:t xml:space="preserve"> S5</w:t>
      </w:r>
      <w:r w:rsidR="00730E47" w:rsidRPr="00730E47">
        <w:rPr>
          <w:rFonts w:ascii="Arial" w:eastAsia="Calibri" w:hAnsi="Arial" w:cs="Arial"/>
          <w:sz w:val="20"/>
          <w:lang w:val="en-AU"/>
        </w:rPr>
        <w:t xml:space="preserve">. Location of proxy records of vegetation, </w:t>
      </w:r>
      <w:r w:rsidR="00D66A63">
        <w:rPr>
          <w:rFonts w:ascii="Arial" w:eastAsia="Calibri" w:hAnsi="Arial" w:cs="Arial"/>
          <w:sz w:val="20"/>
          <w:lang w:val="en-AU"/>
        </w:rPr>
        <w:t>δ</w:t>
      </w:r>
      <w:r w:rsidR="00730E47" w:rsidRPr="00D66A63">
        <w:rPr>
          <w:rFonts w:ascii="Arial" w:eastAsia="Calibri" w:hAnsi="Arial" w:cs="Arial"/>
          <w:sz w:val="20"/>
          <w:vertAlign w:val="superscript"/>
          <w:lang w:val="en-AU"/>
        </w:rPr>
        <w:t>13</w:t>
      </w:r>
      <w:r w:rsidR="00730E47" w:rsidRPr="00730E47">
        <w:rPr>
          <w:rFonts w:ascii="Arial" w:eastAsia="Calibri" w:hAnsi="Arial" w:cs="Arial"/>
          <w:sz w:val="20"/>
          <w:lang w:val="en-AU"/>
        </w:rPr>
        <w:t xml:space="preserve">C, </w:t>
      </w:r>
      <w:r w:rsidR="00D66A63">
        <w:rPr>
          <w:rFonts w:ascii="Arial" w:eastAsia="Calibri" w:hAnsi="Arial" w:cs="Arial"/>
          <w:sz w:val="20"/>
          <w:lang w:val="en-AU"/>
        </w:rPr>
        <w:t>δ</w:t>
      </w:r>
      <w:r w:rsidR="00730E47" w:rsidRPr="00D66A63">
        <w:rPr>
          <w:rFonts w:ascii="Arial" w:eastAsia="Calibri" w:hAnsi="Arial" w:cs="Arial"/>
          <w:sz w:val="20"/>
          <w:vertAlign w:val="superscript"/>
          <w:lang w:val="en-AU"/>
        </w:rPr>
        <w:t>18</w:t>
      </w:r>
      <w:r w:rsidR="00730E47" w:rsidRPr="00730E47">
        <w:rPr>
          <w:rFonts w:ascii="Arial" w:eastAsia="Calibri" w:hAnsi="Arial" w:cs="Arial"/>
          <w:sz w:val="20"/>
          <w:lang w:val="en-AU"/>
        </w:rPr>
        <w:t>O and GDGT</w:t>
      </w:r>
      <w:r w:rsidR="00D66A63">
        <w:rPr>
          <w:rFonts w:ascii="Arial" w:eastAsia="Calibri" w:hAnsi="Arial" w:cs="Arial"/>
          <w:sz w:val="20"/>
          <w:lang w:val="en-AU"/>
        </w:rPr>
        <w:t>’s</w:t>
      </w:r>
      <w:r w:rsidR="00730E47" w:rsidRPr="00730E47">
        <w:rPr>
          <w:rFonts w:ascii="Arial" w:eastAsia="Calibri" w:hAnsi="Arial" w:cs="Arial"/>
          <w:sz w:val="20"/>
          <w:lang w:val="en-AU"/>
        </w:rPr>
        <w:t xml:space="preserve"> utilised for changepoint analysis. </w:t>
      </w:r>
      <w:r w:rsidR="00D66A63" w:rsidRPr="00730E47">
        <w:rPr>
          <w:rFonts w:ascii="Arial" w:eastAsia="Calibri" w:hAnsi="Arial" w:cs="Arial"/>
          <w:sz w:val="20"/>
          <w:lang w:val="en-AU"/>
        </w:rPr>
        <w:t xml:space="preserve">Grid cells </w:t>
      </w:r>
      <w:r w:rsidR="00D66A63">
        <w:rPr>
          <w:rFonts w:ascii="Arial" w:eastAsia="Calibri" w:hAnsi="Arial" w:cs="Arial"/>
          <w:sz w:val="20"/>
          <w:lang w:val="en-AU"/>
        </w:rPr>
        <w:t>show the</w:t>
      </w:r>
      <w:r w:rsidR="00D66A63" w:rsidRPr="00730E47">
        <w:rPr>
          <w:rFonts w:ascii="Arial" w:eastAsia="Calibri" w:hAnsi="Arial" w:cs="Arial"/>
          <w:sz w:val="20"/>
          <w:lang w:val="en-AU"/>
        </w:rPr>
        <w:t xml:space="preserve"> iTRACE temperature and precipitation outputs </w:t>
      </w:r>
      <w:r w:rsidR="00730E47" w:rsidRPr="00730E47">
        <w:rPr>
          <w:rFonts w:ascii="Arial" w:eastAsia="Calibri" w:hAnsi="Arial" w:cs="Arial"/>
          <w:sz w:val="20"/>
          <w:lang w:val="en-AU"/>
        </w:rPr>
        <w:t>covering the continuous proxy records used to determine changepoints in Fig S6.</w:t>
      </w:r>
    </w:p>
    <w:p w14:paraId="38C483CA" w14:textId="77777777" w:rsidR="00730E47" w:rsidRPr="00730E47" w:rsidRDefault="00730E47" w:rsidP="00730E47">
      <w:pPr>
        <w:spacing w:after="160" w:line="259" w:lineRule="auto"/>
        <w:rPr>
          <w:rFonts w:ascii="Calibri" w:eastAsia="Calibri" w:hAnsi="Calibri"/>
          <w:sz w:val="22"/>
          <w:szCs w:val="22"/>
          <w:lang w:val="en-AU"/>
        </w:rPr>
      </w:pPr>
      <w:r w:rsidRPr="00730E47">
        <w:rPr>
          <w:rFonts w:ascii="Calibri" w:eastAsia="Calibri" w:hAnsi="Calibri"/>
          <w:noProof/>
          <w:sz w:val="22"/>
          <w:szCs w:val="22"/>
          <w:lang w:val="en-AU"/>
        </w:rPr>
        <w:lastRenderedPageBreak/>
        <w:drawing>
          <wp:inline distT="0" distB="0" distL="0" distR="0" wp14:anchorId="21721033" wp14:editId="4B9AB721">
            <wp:extent cx="3300074" cy="6461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306504" cy="6474351"/>
                    </a:xfrm>
                    <a:prstGeom prst="rect">
                      <a:avLst/>
                    </a:prstGeom>
                    <a:noFill/>
                    <a:ln>
                      <a:noFill/>
                    </a:ln>
                  </pic:spPr>
                </pic:pic>
              </a:graphicData>
            </a:graphic>
          </wp:inline>
        </w:drawing>
      </w:r>
    </w:p>
    <w:p w14:paraId="6600AF8D" w14:textId="65741A3B" w:rsidR="00730E47" w:rsidRPr="00730E47" w:rsidRDefault="00730E47" w:rsidP="00730E47">
      <w:pPr>
        <w:spacing w:after="160" w:line="259" w:lineRule="auto"/>
        <w:rPr>
          <w:rFonts w:ascii="Arial" w:eastAsia="Calibri" w:hAnsi="Arial" w:cs="Arial"/>
          <w:sz w:val="20"/>
          <w:lang w:val="en-AU"/>
        </w:rPr>
      </w:pPr>
      <w:r w:rsidRPr="00730E47">
        <w:rPr>
          <w:rFonts w:ascii="Arial" w:eastAsia="Calibri" w:hAnsi="Arial" w:cs="Arial"/>
          <w:b/>
          <w:bCs/>
          <w:sz w:val="20"/>
          <w:lang w:val="en-AU"/>
        </w:rPr>
        <w:t>Fig S6</w:t>
      </w:r>
      <w:r w:rsidRPr="00730E47">
        <w:rPr>
          <w:rFonts w:ascii="Arial" w:eastAsia="Calibri" w:hAnsi="Arial" w:cs="Arial"/>
          <w:sz w:val="20"/>
          <w:lang w:val="en-AU"/>
        </w:rPr>
        <w:t>. iTrace Temperature (top panel) and precipitation (middle panel) outputs from grid cells covering the majority of environmental proxy records analysed in Cadd et al. (2021) (Figure S5). Summed probability density function of all change points identified in vegetation,</w:t>
      </w:r>
      <w:r w:rsidR="00FD083D">
        <w:rPr>
          <w:rFonts w:ascii="Arial" w:eastAsia="Calibri" w:hAnsi="Arial" w:cs="Arial"/>
          <w:sz w:val="20"/>
          <w:lang w:val="en-AU"/>
        </w:rPr>
        <w:t xml:space="preserve"> </w:t>
      </w:r>
      <w:r w:rsidR="00D66A63">
        <w:rPr>
          <w:rFonts w:ascii="Arial" w:eastAsia="Calibri" w:hAnsi="Arial" w:cs="Arial"/>
          <w:sz w:val="20"/>
          <w:lang w:val="en-AU"/>
        </w:rPr>
        <w:t>δ</w:t>
      </w:r>
      <w:r w:rsidR="00D66A63" w:rsidRPr="00D66A63">
        <w:rPr>
          <w:rFonts w:ascii="Arial" w:eastAsia="Calibri" w:hAnsi="Arial" w:cs="Arial"/>
          <w:sz w:val="20"/>
          <w:vertAlign w:val="superscript"/>
          <w:lang w:val="en-AU"/>
        </w:rPr>
        <w:t>13</w:t>
      </w:r>
      <w:r w:rsidR="00D66A63" w:rsidRPr="00730E47">
        <w:rPr>
          <w:rFonts w:ascii="Arial" w:eastAsia="Calibri" w:hAnsi="Arial" w:cs="Arial"/>
          <w:sz w:val="20"/>
          <w:lang w:val="en-AU"/>
        </w:rPr>
        <w:t xml:space="preserve">C, </w:t>
      </w:r>
      <w:r w:rsidR="00D66A63">
        <w:rPr>
          <w:rFonts w:ascii="Arial" w:eastAsia="Calibri" w:hAnsi="Arial" w:cs="Arial"/>
          <w:sz w:val="20"/>
          <w:lang w:val="en-AU"/>
        </w:rPr>
        <w:t>δ</w:t>
      </w:r>
      <w:r w:rsidR="00D66A63" w:rsidRPr="00D66A63">
        <w:rPr>
          <w:rFonts w:ascii="Arial" w:eastAsia="Calibri" w:hAnsi="Arial" w:cs="Arial"/>
          <w:sz w:val="20"/>
          <w:vertAlign w:val="superscript"/>
          <w:lang w:val="en-AU"/>
        </w:rPr>
        <w:t>18</w:t>
      </w:r>
      <w:r w:rsidR="00D66A63" w:rsidRPr="00730E47">
        <w:rPr>
          <w:rFonts w:ascii="Arial" w:eastAsia="Calibri" w:hAnsi="Arial" w:cs="Arial"/>
          <w:sz w:val="20"/>
          <w:lang w:val="en-AU"/>
        </w:rPr>
        <w:t xml:space="preserve">O and </w:t>
      </w:r>
      <w:r w:rsidRPr="00730E47">
        <w:rPr>
          <w:rFonts w:ascii="Arial" w:eastAsia="Calibri" w:hAnsi="Arial" w:cs="Arial"/>
          <w:sz w:val="20"/>
          <w:lang w:val="en-AU"/>
        </w:rPr>
        <w:t>GDGT records as representing a change to decreasing (orange line) and increasing (blue line) climate indicators (including temperature, precipitation, and CO</w:t>
      </w:r>
      <w:r w:rsidRPr="00730E47">
        <w:rPr>
          <w:rFonts w:ascii="Arial" w:eastAsia="Calibri" w:hAnsi="Arial" w:cs="Arial"/>
          <w:sz w:val="20"/>
          <w:vertAlign w:val="subscript"/>
          <w:lang w:val="en-AU"/>
        </w:rPr>
        <w:t>2</w:t>
      </w:r>
      <w:r w:rsidRPr="00730E47">
        <w:rPr>
          <w:rFonts w:ascii="Arial" w:eastAsia="Calibri" w:hAnsi="Arial" w:cs="Arial"/>
          <w:sz w:val="20"/>
          <w:lang w:val="en-AU"/>
        </w:rPr>
        <w:t>) from22</w:t>
      </w:r>
      <w:r w:rsidR="00FD083D">
        <w:rPr>
          <w:rFonts w:ascii="Arial" w:eastAsia="Calibri" w:hAnsi="Arial" w:cs="Arial"/>
          <w:sz w:val="20"/>
          <w:lang w:val="en-AU"/>
        </w:rPr>
        <w:t xml:space="preserve"> </w:t>
      </w:r>
      <w:r w:rsidRPr="00730E47">
        <w:rPr>
          <w:rFonts w:ascii="Arial" w:eastAsia="Calibri" w:hAnsi="Arial" w:cs="Arial"/>
          <w:sz w:val="20"/>
          <w:lang w:val="en-AU"/>
        </w:rPr>
        <w:t>-</w:t>
      </w:r>
      <w:r w:rsidR="00FD083D">
        <w:rPr>
          <w:rFonts w:ascii="Arial" w:eastAsia="Calibri" w:hAnsi="Arial" w:cs="Arial"/>
          <w:sz w:val="20"/>
          <w:lang w:val="en-AU"/>
        </w:rPr>
        <w:t xml:space="preserve"> </w:t>
      </w:r>
      <w:r w:rsidRPr="00730E47">
        <w:rPr>
          <w:rFonts w:ascii="Arial" w:eastAsia="Calibri" w:hAnsi="Arial" w:cs="Arial"/>
          <w:sz w:val="20"/>
          <w:lang w:val="en-AU"/>
        </w:rPr>
        <w:t>8 ka. Sites used in analysis are shown in Figure S1. (B) Compilation of ice core atmospheric CO</w:t>
      </w:r>
      <w:r w:rsidRPr="00730E47">
        <w:rPr>
          <w:rFonts w:ascii="Arial" w:eastAsia="Calibri" w:hAnsi="Arial" w:cs="Arial"/>
          <w:sz w:val="20"/>
          <w:vertAlign w:val="subscript"/>
          <w:lang w:val="en-AU"/>
        </w:rPr>
        <w:t>2</w:t>
      </w:r>
      <w:r w:rsidRPr="00730E47">
        <w:rPr>
          <w:rFonts w:ascii="Arial" w:eastAsia="Calibri" w:hAnsi="Arial" w:cs="Arial"/>
          <w:sz w:val="20"/>
          <w:lang w:val="en-AU"/>
        </w:rPr>
        <w:t xml:space="preserve"> measurements (ppm) for the period 35–15 ka (Köhler et al., 2017). (C) Ice volume equivalent sea level (m) (black line) and 95% probability limiting values (grey shading) (Lambeck et al., 2014).</w:t>
      </w:r>
    </w:p>
    <w:p w14:paraId="15505BC5" w14:textId="77777777" w:rsidR="009A5287" w:rsidRPr="00DC623A" w:rsidRDefault="009A5287" w:rsidP="00B9440A">
      <w:pPr>
        <w:pStyle w:val="SMcaption"/>
        <w:rPr>
          <w:rFonts w:ascii="Arial" w:hAnsi="Arial" w:cs="Arial"/>
          <w:sz w:val="20"/>
        </w:rPr>
      </w:pPr>
    </w:p>
    <w:p w14:paraId="13D61F55" w14:textId="77777777" w:rsidR="00F36E8E" w:rsidRDefault="00F36E8E" w:rsidP="00F36E8E">
      <w:pPr>
        <w:rPr>
          <w:noProof/>
        </w:rPr>
      </w:pPr>
      <w:r>
        <w:rPr>
          <w:noProof/>
        </w:rPr>
        <w:lastRenderedPageBreak/>
        <w:drawing>
          <wp:inline distT="0" distB="0" distL="0" distR="0" wp14:anchorId="6C1C7730" wp14:editId="1B156F44">
            <wp:extent cx="6120130" cy="6176010"/>
            <wp:effectExtent l="0" t="0" r="0" b="0"/>
            <wp:docPr id="23" name="Picture 2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6176010"/>
                    </a:xfrm>
                    <a:prstGeom prst="rect">
                      <a:avLst/>
                    </a:prstGeom>
                  </pic:spPr>
                </pic:pic>
              </a:graphicData>
            </a:graphic>
          </wp:inline>
        </w:drawing>
      </w:r>
    </w:p>
    <w:p w14:paraId="187CCCE8" w14:textId="1CA72B60" w:rsidR="00F36E8E" w:rsidRDefault="00F36E8E" w:rsidP="00F36E8E">
      <w:pPr>
        <w:rPr>
          <w:rFonts w:ascii="Arial" w:hAnsi="Arial" w:cs="Arial"/>
          <w:sz w:val="20"/>
        </w:rPr>
      </w:pPr>
      <w:r w:rsidRPr="00F36E8E">
        <w:rPr>
          <w:rFonts w:ascii="Arial" w:hAnsi="Arial" w:cs="Arial"/>
          <w:b/>
          <w:bCs/>
          <w:sz w:val="20"/>
        </w:rPr>
        <w:t>Fig S7</w:t>
      </w:r>
      <w:r w:rsidRPr="00F36E8E">
        <w:rPr>
          <w:rFonts w:ascii="Arial" w:hAnsi="Arial" w:cs="Arial"/>
          <w:sz w:val="20"/>
        </w:rPr>
        <w:t xml:space="preserve">. Top panels: Modern average annual precipitation (left; 1980 – 2010) and temperature (right; 1961 – 1990). Major river systems and lakes are shown in blue. Bottom panels: Modern average seasonal precipitation (1980 – 2010) and temperature (1961 – 1990) for Summer (December, January, February; DJF), Autumn (March, April, May; MAM), Winter (June, July, August; JJA) and Spring (September, October, November; SON). </w:t>
      </w:r>
    </w:p>
    <w:p w14:paraId="554EF315" w14:textId="50D0505C" w:rsidR="00F36E8E" w:rsidRDefault="00F36E8E">
      <w:pPr>
        <w:rPr>
          <w:rFonts w:ascii="Arial" w:hAnsi="Arial" w:cs="Arial"/>
          <w:sz w:val="20"/>
        </w:rPr>
      </w:pPr>
      <w:r>
        <w:rPr>
          <w:rFonts w:ascii="Arial" w:hAnsi="Arial" w:cs="Arial"/>
          <w:sz w:val="20"/>
        </w:rPr>
        <w:br w:type="page"/>
      </w:r>
    </w:p>
    <w:p w14:paraId="06CDAFA2" w14:textId="6859CD85" w:rsidR="00F36E8E" w:rsidRPr="00F36E8E" w:rsidRDefault="00F36E8E" w:rsidP="00F36E8E">
      <w:pPr>
        <w:rPr>
          <w:rFonts w:ascii="Arial" w:hAnsi="Arial" w:cs="Arial"/>
          <w:sz w:val="20"/>
        </w:rPr>
      </w:pPr>
      <w:r w:rsidRPr="00F36E8E">
        <w:rPr>
          <w:rFonts w:ascii="Arial" w:hAnsi="Arial" w:cs="Arial"/>
          <w:b/>
          <w:bCs/>
          <w:sz w:val="20"/>
        </w:rPr>
        <w:lastRenderedPageBreak/>
        <w:t>For Fig S8 – S14</w:t>
      </w:r>
      <w:r w:rsidRPr="00F36E8E">
        <w:rPr>
          <w:rFonts w:ascii="Arial" w:hAnsi="Arial" w:cs="Arial"/>
          <w:sz w:val="20"/>
        </w:rPr>
        <w:t>; Top panels: iTRACE modelled average annual precipitation (left) and temperature (right). The location of archaeological dates (</w:t>
      </w:r>
      <w:r w:rsidRPr="00F36E8E">
        <w:rPr>
          <w:rFonts w:ascii="Arial" w:hAnsi="Arial" w:cs="Arial"/>
          <w:sz w:val="20"/>
          <w:vertAlign w:val="superscript"/>
        </w:rPr>
        <w:t>14</w:t>
      </w:r>
      <w:r w:rsidRPr="00F36E8E">
        <w:rPr>
          <w:rFonts w:ascii="Arial" w:hAnsi="Arial" w:cs="Arial"/>
          <w:sz w:val="20"/>
        </w:rPr>
        <w:t>C, OSL &amp; TL) that had a probability &gt;0.0</w:t>
      </w:r>
      <w:r w:rsidR="00DE2D31">
        <w:rPr>
          <w:rFonts w:ascii="Arial" w:hAnsi="Arial" w:cs="Arial"/>
          <w:sz w:val="20"/>
        </w:rPr>
        <w:t>1</w:t>
      </w:r>
      <w:r w:rsidRPr="00F36E8E">
        <w:rPr>
          <w:rFonts w:ascii="Arial" w:hAnsi="Arial" w:cs="Arial"/>
          <w:sz w:val="20"/>
        </w:rPr>
        <w:t xml:space="preserve"> of occurring ± 200 years of time slice are plotted as grey circles (with the size of the circles proportional to the probability of occurrence). The middle panel shows a Gaussian Kernel Density Estimate (bandwidth=30) of archaeological dates (</w:t>
      </w:r>
      <w:r w:rsidRPr="00F36E8E">
        <w:rPr>
          <w:rFonts w:ascii="Arial" w:hAnsi="Arial" w:cs="Arial"/>
          <w:sz w:val="20"/>
          <w:vertAlign w:val="superscript"/>
        </w:rPr>
        <w:t>14</w:t>
      </w:r>
      <w:r w:rsidRPr="00F36E8E">
        <w:rPr>
          <w:rFonts w:ascii="Arial" w:hAnsi="Arial" w:cs="Arial"/>
          <w:sz w:val="20"/>
        </w:rPr>
        <w:t xml:space="preserve">C, OSL &amp; TL) through time. Major river systems and lakes are shown in blue. Bottom panels: modelled average seasonal precipitation and temperature for Summer (December, January, February; DJF), Autumn (March, April, May; MAM), Winter (June, July, August; JJA) and Spring (September, October, November; SON). </w:t>
      </w:r>
    </w:p>
    <w:p w14:paraId="1BD79B0B" w14:textId="77777777" w:rsidR="00F36E8E" w:rsidRDefault="00F36E8E" w:rsidP="00F36E8E"/>
    <w:p w14:paraId="3963A986" w14:textId="77777777" w:rsidR="00F36E8E" w:rsidRDefault="00F36E8E" w:rsidP="00F36E8E">
      <w:r>
        <w:rPr>
          <w:noProof/>
        </w:rPr>
        <w:lastRenderedPageBreak/>
        <w:drawing>
          <wp:inline distT="0" distB="0" distL="0" distR="0" wp14:anchorId="205A3CE0" wp14:editId="40DE278E">
            <wp:extent cx="5725100" cy="711517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3F6B39D2" w14:textId="33861124" w:rsidR="00F36E8E" w:rsidRPr="00F36E8E" w:rsidRDefault="00F36E8E" w:rsidP="00F36E8E">
      <w:pPr>
        <w:rPr>
          <w:rFonts w:ascii="Arial" w:hAnsi="Arial" w:cs="Arial"/>
          <w:sz w:val="20"/>
        </w:rPr>
      </w:pPr>
      <w:r w:rsidRPr="00F36E8E">
        <w:rPr>
          <w:rFonts w:ascii="Arial" w:hAnsi="Arial" w:cs="Arial"/>
          <w:b/>
          <w:bCs/>
          <w:sz w:val="20"/>
        </w:rPr>
        <w:t>Fig S8.</w:t>
      </w:r>
      <w:r w:rsidRPr="00F36E8E">
        <w:rPr>
          <w:rFonts w:ascii="Arial" w:hAnsi="Arial" w:cs="Arial"/>
          <w:sz w:val="20"/>
        </w:rPr>
        <w:t xml:space="preserve"> iTRACE modelled average annual precipitation (left) and temperature (right) and archaeological ages at 20 ka </w:t>
      </w:r>
    </w:p>
    <w:p w14:paraId="0F95F35A" w14:textId="77777777" w:rsidR="00F36E8E" w:rsidRDefault="00F36E8E" w:rsidP="00F36E8E"/>
    <w:p w14:paraId="06A570CE" w14:textId="77777777" w:rsidR="00F36E8E" w:rsidRDefault="00F36E8E" w:rsidP="00F36E8E">
      <w:r>
        <w:rPr>
          <w:noProof/>
        </w:rPr>
        <w:lastRenderedPageBreak/>
        <w:drawing>
          <wp:inline distT="0" distB="0" distL="0" distR="0" wp14:anchorId="25A045AF" wp14:editId="109E0EE9">
            <wp:extent cx="5725100" cy="711517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13E54FA7" w14:textId="55E9E226" w:rsidR="00F36E8E" w:rsidRPr="00F36E8E" w:rsidRDefault="00F36E8E" w:rsidP="00F36E8E">
      <w:pPr>
        <w:rPr>
          <w:rFonts w:ascii="Arial" w:hAnsi="Arial" w:cs="Arial"/>
          <w:sz w:val="20"/>
        </w:rPr>
      </w:pPr>
      <w:r w:rsidRPr="00F36E8E">
        <w:rPr>
          <w:rFonts w:ascii="Arial" w:hAnsi="Arial" w:cs="Arial"/>
          <w:b/>
          <w:bCs/>
          <w:sz w:val="20"/>
        </w:rPr>
        <w:t>Fig S9</w:t>
      </w:r>
      <w:r w:rsidRPr="00F36E8E">
        <w:rPr>
          <w:rFonts w:ascii="Arial" w:hAnsi="Arial" w:cs="Arial"/>
          <w:sz w:val="20"/>
        </w:rPr>
        <w:t>. iTRACE modelled average annual precipitation (left) and temperature (right) and archaeological ages at 18 ka.</w:t>
      </w:r>
    </w:p>
    <w:p w14:paraId="5F2D71B6" w14:textId="77777777" w:rsidR="00F36E8E" w:rsidRDefault="00F36E8E" w:rsidP="00F36E8E"/>
    <w:p w14:paraId="6D704E39" w14:textId="77777777" w:rsidR="00F36E8E" w:rsidRDefault="00F36E8E" w:rsidP="00F36E8E">
      <w:r>
        <w:rPr>
          <w:noProof/>
        </w:rPr>
        <w:lastRenderedPageBreak/>
        <w:drawing>
          <wp:inline distT="0" distB="0" distL="0" distR="0" wp14:anchorId="1AAECD4C" wp14:editId="3F06AF7B">
            <wp:extent cx="5725100" cy="711517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0875CB42" w14:textId="6C2D078C" w:rsidR="00F36E8E" w:rsidRPr="00F36E8E" w:rsidRDefault="00F36E8E" w:rsidP="00F36E8E">
      <w:pPr>
        <w:rPr>
          <w:rFonts w:ascii="Arial" w:hAnsi="Arial" w:cs="Arial"/>
          <w:sz w:val="20"/>
        </w:rPr>
      </w:pPr>
      <w:r w:rsidRPr="00F36E8E">
        <w:rPr>
          <w:rFonts w:ascii="Arial" w:hAnsi="Arial" w:cs="Arial"/>
          <w:b/>
          <w:bCs/>
          <w:sz w:val="20"/>
        </w:rPr>
        <w:t>Fig S10</w:t>
      </w:r>
      <w:r w:rsidRPr="00F36E8E">
        <w:rPr>
          <w:rFonts w:ascii="Arial" w:hAnsi="Arial" w:cs="Arial"/>
          <w:sz w:val="20"/>
        </w:rPr>
        <w:t>. iTRACE modelled average annual precipitation (left) and temperature (right) and archaeological ages at 16 ka.</w:t>
      </w:r>
    </w:p>
    <w:p w14:paraId="2A0361D8" w14:textId="77777777" w:rsidR="00F36E8E" w:rsidRDefault="00F36E8E" w:rsidP="00F36E8E"/>
    <w:p w14:paraId="5ECD5E27" w14:textId="77777777" w:rsidR="00F36E8E" w:rsidRDefault="00F36E8E" w:rsidP="00F36E8E"/>
    <w:p w14:paraId="07A1F156" w14:textId="77777777" w:rsidR="00F36E8E" w:rsidRDefault="00F36E8E" w:rsidP="00F36E8E">
      <w:r>
        <w:rPr>
          <w:noProof/>
        </w:rPr>
        <w:lastRenderedPageBreak/>
        <w:drawing>
          <wp:inline distT="0" distB="0" distL="0" distR="0" wp14:anchorId="7E86D779" wp14:editId="16053C57">
            <wp:extent cx="5725100" cy="711517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6AB42AAF" w14:textId="4326C52D" w:rsidR="00F36E8E" w:rsidRPr="00F36E8E" w:rsidRDefault="00F36E8E" w:rsidP="00F36E8E">
      <w:pPr>
        <w:rPr>
          <w:rFonts w:ascii="Arial" w:hAnsi="Arial" w:cs="Arial"/>
          <w:sz w:val="20"/>
        </w:rPr>
      </w:pPr>
      <w:r w:rsidRPr="00F36E8E">
        <w:rPr>
          <w:rFonts w:ascii="Arial" w:hAnsi="Arial" w:cs="Arial"/>
          <w:b/>
          <w:bCs/>
          <w:sz w:val="20"/>
        </w:rPr>
        <w:t>Fig S11</w:t>
      </w:r>
      <w:r w:rsidRPr="00F36E8E">
        <w:rPr>
          <w:rFonts w:ascii="Arial" w:hAnsi="Arial" w:cs="Arial"/>
          <w:sz w:val="20"/>
        </w:rPr>
        <w:t>. iTRACE modelled average annual precipitation (left) and temperature (right) and archaeological ages at 14 ka.</w:t>
      </w:r>
    </w:p>
    <w:p w14:paraId="1CD66F7E" w14:textId="77777777" w:rsidR="00F36E8E" w:rsidRDefault="00F36E8E" w:rsidP="00F36E8E"/>
    <w:p w14:paraId="697FE82C" w14:textId="77777777" w:rsidR="00F36E8E" w:rsidRDefault="00F36E8E" w:rsidP="00F36E8E"/>
    <w:p w14:paraId="6AFAD10D" w14:textId="77777777" w:rsidR="00F36E8E" w:rsidRDefault="00F36E8E" w:rsidP="00F36E8E">
      <w:r>
        <w:rPr>
          <w:noProof/>
        </w:rPr>
        <w:lastRenderedPageBreak/>
        <w:drawing>
          <wp:inline distT="0" distB="0" distL="0" distR="0" wp14:anchorId="61E880FD" wp14:editId="2FA94A45">
            <wp:extent cx="5725100" cy="711517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3332BD3C" w14:textId="64E363E5" w:rsidR="00F36E8E" w:rsidRPr="00F36E8E" w:rsidRDefault="00F36E8E" w:rsidP="00F36E8E">
      <w:pPr>
        <w:rPr>
          <w:rFonts w:ascii="Arial" w:hAnsi="Arial" w:cs="Arial"/>
          <w:sz w:val="20"/>
        </w:rPr>
      </w:pPr>
      <w:r w:rsidRPr="00F36E8E">
        <w:rPr>
          <w:rFonts w:ascii="Arial" w:hAnsi="Arial" w:cs="Arial"/>
          <w:b/>
          <w:bCs/>
          <w:sz w:val="20"/>
        </w:rPr>
        <w:t>Fig S12</w:t>
      </w:r>
      <w:r w:rsidRPr="00F36E8E">
        <w:rPr>
          <w:rFonts w:ascii="Arial" w:hAnsi="Arial" w:cs="Arial"/>
          <w:sz w:val="20"/>
        </w:rPr>
        <w:t>. iTRACE modelled average annual precipitation (left) and temperature (right) and archaeological ages at 13.5 ka.</w:t>
      </w:r>
    </w:p>
    <w:p w14:paraId="3C9274A6" w14:textId="77777777" w:rsidR="00F36E8E" w:rsidRDefault="00F36E8E" w:rsidP="00F36E8E"/>
    <w:p w14:paraId="5991D394" w14:textId="77777777" w:rsidR="00F36E8E" w:rsidRDefault="00F36E8E" w:rsidP="00F36E8E"/>
    <w:p w14:paraId="4A6EB559" w14:textId="77777777" w:rsidR="00F36E8E" w:rsidRDefault="00F36E8E" w:rsidP="00F36E8E">
      <w:r>
        <w:rPr>
          <w:noProof/>
        </w:rPr>
        <w:lastRenderedPageBreak/>
        <w:drawing>
          <wp:inline distT="0" distB="0" distL="0" distR="0" wp14:anchorId="0C93032D" wp14:editId="7EED7B1C">
            <wp:extent cx="5725100" cy="711517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142FF658" w14:textId="406FB9D9" w:rsidR="00F36E8E" w:rsidRPr="00F36E8E" w:rsidRDefault="00F36E8E" w:rsidP="00F36E8E">
      <w:pPr>
        <w:rPr>
          <w:rFonts w:ascii="Arial" w:hAnsi="Arial" w:cs="Arial"/>
          <w:sz w:val="20"/>
        </w:rPr>
      </w:pPr>
      <w:r w:rsidRPr="00F36E8E">
        <w:rPr>
          <w:rFonts w:ascii="Arial" w:hAnsi="Arial" w:cs="Arial"/>
          <w:b/>
          <w:bCs/>
          <w:sz w:val="20"/>
        </w:rPr>
        <w:t>Fig S13</w:t>
      </w:r>
      <w:r w:rsidRPr="00F36E8E">
        <w:rPr>
          <w:rFonts w:ascii="Arial" w:hAnsi="Arial" w:cs="Arial"/>
          <w:sz w:val="20"/>
        </w:rPr>
        <w:t>. iTRACE modelled average annual precipitation (left) and temperature (right) and archaeological ages at 12.5 ka.</w:t>
      </w:r>
    </w:p>
    <w:p w14:paraId="0F0A4DBC" w14:textId="77777777" w:rsidR="00F36E8E" w:rsidRDefault="00F36E8E" w:rsidP="00F36E8E"/>
    <w:p w14:paraId="1954EEE1" w14:textId="77777777" w:rsidR="00F36E8E" w:rsidRDefault="00F36E8E" w:rsidP="00F36E8E"/>
    <w:p w14:paraId="6A5CEF73" w14:textId="77777777" w:rsidR="00F36E8E" w:rsidRDefault="00F36E8E" w:rsidP="00F36E8E">
      <w:r>
        <w:rPr>
          <w:noProof/>
        </w:rPr>
        <w:lastRenderedPageBreak/>
        <w:drawing>
          <wp:inline distT="0" distB="0" distL="0" distR="0" wp14:anchorId="7798CFFD" wp14:editId="3C700FA0">
            <wp:extent cx="5725100" cy="711517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725100" cy="7115175"/>
                    </a:xfrm>
                    <a:prstGeom prst="rect">
                      <a:avLst/>
                    </a:prstGeom>
                    <a:noFill/>
                    <a:ln>
                      <a:noFill/>
                    </a:ln>
                  </pic:spPr>
                </pic:pic>
              </a:graphicData>
            </a:graphic>
          </wp:inline>
        </w:drawing>
      </w:r>
    </w:p>
    <w:p w14:paraId="0A5AF416" w14:textId="12275EAA" w:rsidR="00F36E8E" w:rsidRPr="00F36E8E" w:rsidRDefault="00F36E8E" w:rsidP="00F36E8E">
      <w:pPr>
        <w:rPr>
          <w:rFonts w:ascii="Arial" w:hAnsi="Arial" w:cs="Arial"/>
          <w:sz w:val="20"/>
        </w:rPr>
      </w:pPr>
      <w:r w:rsidRPr="00F36E8E">
        <w:rPr>
          <w:rFonts w:ascii="Arial" w:hAnsi="Arial" w:cs="Arial"/>
          <w:b/>
          <w:bCs/>
          <w:sz w:val="20"/>
        </w:rPr>
        <w:t>Fig S14</w:t>
      </w:r>
      <w:r w:rsidRPr="00F36E8E">
        <w:rPr>
          <w:rFonts w:ascii="Arial" w:hAnsi="Arial" w:cs="Arial"/>
          <w:sz w:val="20"/>
        </w:rPr>
        <w:t>. iTRACE modelled average annual precipitation (left) and temperature (right) and archaeological ages at 11 ka.</w:t>
      </w:r>
    </w:p>
    <w:p w14:paraId="5E529348" w14:textId="77777777" w:rsidR="00F36E8E" w:rsidRDefault="00F36E8E" w:rsidP="00F36E8E"/>
    <w:p w14:paraId="20E92034" w14:textId="77777777" w:rsidR="00F36E8E" w:rsidRDefault="00F36E8E" w:rsidP="00F36E8E"/>
    <w:p w14:paraId="2A8525B6" w14:textId="77777777" w:rsidR="00F36E8E" w:rsidRDefault="00F36E8E" w:rsidP="00F36E8E"/>
    <w:p w14:paraId="51048125" w14:textId="77777777" w:rsidR="00F36E8E" w:rsidRDefault="00F36E8E" w:rsidP="00F36E8E"/>
    <w:p w14:paraId="34DB53F7" w14:textId="77777777" w:rsidR="00F36E8E" w:rsidRDefault="00F36E8E" w:rsidP="00F36E8E">
      <w:r>
        <w:rPr>
          <w:noProof/>
        </w:rPr>
        <w:lastRenderedPageBreak/>
        <w:drawing>
          <wp:inline distT="0" distB="0" distL="0" distR="0" wp14:anchorId="32144A90" wp14:editId="4F7D3D32">
            <wp:extent cx="5442430" cy="4343399"/>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442430" cy="4343399"/>
                    </a:xfrm>
                    <a:prstGeom prst="rect">
                      <a:avLst/>
                    </a:prstGeom>
                    <a:noFill/>
                    <a:ln>
                      <a:noFill/>
                    </a:ln>
                  </pic:spPr>
                </pic:pic>
              </a:graphicData>
            </a:graphic>
          </wp:inline>
        </w:drawing>
      </w:r>
    </w:p>
    <w:p w14:paraId="5D30F74E" w14:textId="36DE250B" w:rsidR="00F36E8E" w:rsidRPr="00F36E8E" w:rsidRDefault="00F36E8E" w:rsidP="00F36E8E">
      <w:pPr>
        <w:rPr>
          <w:rFonts w:ascii="Arial" w:hAnsi="Arial" w:cs="Arial"/>
          <w:sz w:val="20"/>
        </w:rPr>
      </w:pPr>
      <w:r w:rsidRPr="00F36E8E">
        <w:rPr>
          <w:rFonts w:ascii="Arial" w:hAnsi="Arial" w:cs="Arial"/>
          <w:b/>
          <w:bCs/>
          <w:sz w:val="20"/>
        </w:rPr>
        <w:t>Fig S15</w:t>
      </w:r>
      <w:r w:rsidRPr="00F36E8E">
        <w:rPr>
          <w:rFonts w:ascii="Arial" w:hAnsi="Arial" w:cs="Arial"/>
          <w:sz w:val="20"/>
        </w:rPr>
        <w:t>. Grid cells of iTRACE temperature and precipitation outputs for the entire continent and grid cells north of 26°S and south of 26°S on the Australian continent.</w:t>
      </w:r>
    </w:p>
    <w:p w14:paraId="3A8C5D9A" w14:textId="77777777" w:rsidR="00F36E8E" w:rsidRDefault="00F36E8E" w:rsidP="00F36E8E"/>
    <w:p w14:paraId="35EFB6DC" w14:textId="77777777" w:rsidR="00F36E8E" w:rsidRDefault="00F36E8E" w:rsidP="00F36E8E">
      <w:r>
        <w:rPr>
          <w:noProof/>
        </w:rPr>
        <w:lastRenderedPageBreak/>
        <w:drawing>
          <wp:inline distT="0" distB="0" distL="0" distR="0" wp14:anchorId="12A17A90" wp14:editId="58EB8B42">
            <wp:extent cx="4604230" cy="76200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616589" cy="7640455"/>
                    </a:xfrm>
                    <a:prstGeom prst="rect">
                      <a:avLst/>
                    </a:prstGeom>
                    <a:noFill/>
                    <a:ln>
                      <a:noFill/>
                    </a:ln>
                  </pic:spPr>
                </pic:pic>
              </a:graphicData>
            </a:graphic>
          </wp:inline>
        </w:drawing>
      </w:r>
    </w:p>
    <w:p w14:paraId="4846EE90" w14:textId="0843B793" w:rsidR="00F36E8E" w:rsidRPr="00F36E8E" w:rsidRDefault="00F36E8E" w:rsidP="00F36E8E">
      <w:pPr>
        <w:rPr>
          <w:rFonts w:ascii="Arial" w:hAnsi="Arial" w:cs="Arial"/>
          <w:sz w:val="20"/>
        </w:rPr>
      </w:pPr>
      <w:r w:rsidRPr="00F36E8E">
        <w:rPr>
          <w:rFonts w:ascii="Arial" w:hAnsi="Arial" w:cs="Arial"/>
          <w:b/>
          <w:bCs/>
          <w:sz w:val="20"/>
        </w:rPr>
        <w:t>Fig S16</w:t>
      </w:r>
      <w:r w:rsidRPr="00F36E8E">
        <w:rPr>
          <w:rFonts w:ascii="Arial" w:hAnsi="Arial" w:cs="Arial"/>
          <w:sz w:val="20"/>
        </w:rPr>
        <w:t xml:space="preserve">. Decadal averaged iTRACE modelled temperature (left) </w:t>
      </w:r>
      <w:r w:rsidR="00DE2D31">
        <w:rPr>
          <w:rFonts w:ascii="Arial" w:hAnsi="Arial" w:cs="Arial"/>
          <w:sz w:val="20"/>
        </w:rPr>
        <w:t xml:space="preserve">and </w:t>
      </w:r>
      <w:r w:rsidR="00DE2D31" w:rsidRPr="00F36E8E">
        <w:rPr>
          <w:rFonts w:ascii="Arial" w:hAnsi="Arial" w:cs="Arial"/>
          <w:sz w:val="20"/>
        </w:rPr>
        <w:t>precipitation (right</w:t>
      </w:r>
      <w:r w:rsidR="00DE2D31">
        <w:rPr>
          <w:rFonts w:ascii="Arial" w:hAnsi="Arial" w:cs="Arial"/>
          <w:sz w:val="20"/>
        </w:rPr>
        <w:t>)</w:t>
      </w:r>
      <w:r w:rsidR="00DE2D31" w:rsidRPr="00F36E8E">
        <w:rPr>
          <w:rFonts w:ascii="Arial" w:hAnsi="Arial" w:cs="Arial"/>
          <w:sz w:val="20"/>
        </w:rPr>
        <w:t xml:space="preserve"> </w:t>
      </w:r>
      <w:r w:rsidRPr="00F36E8E">
        <w:rPr>
          <w:rFonts w:ascii="Arial" w:hAnsi="Arial" w:cs="Arial"/>
          <w:sz w:val="20"/>
        </w:rPr>
        <w:t xml:space="preserve">averaged across all continental grid cells for Australia for A. Annual, B. Summer (December, January, February; DJF), C. Autumn (March, April, May; MAM), D. Winter (June, July, August; JJA) and F. Spring (September, October, November; SON). </w:t>
      </w:r>
    </w:p>
    <w:p w14:paraId="41A025BB" w14:textId="77777777" w:rsidR="00F36E8E" w:rsidRDefault="00F36E8E" w:rsidP="00F36E8E">
      <w:r>
        <w:rPr>
          <w:noProof/>
        </w:rPr>
        <w:lastRenderedPageBreak/>
        <w:drawing>
          <wp:inline distT="0" distB="0" distL="0" distR="0" wp14:anchorId="6BF8010F" wp14:editId="65EA9F72">
            <wp:extent cx="4381500" cy="72416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397744" cy="7268495"/>
                    </a:xfrm>
                    <a:prstGeom prst="rect">
                      <a:avLst/>
                    </a:prstGeom>
                    <a:noFill/>
                    <a:ln>
                      <a:noFill/>
                    </a:ln>
                  </pic:spPr>
                </pic:pic>
              </a:graphicData>
            </a:graphic>
          </wp:inline>
        </w:drawing>
      </w:r>
    </w:p>
    <w:p w14:paraId="37D43F2A" w14:textId="3950F636" w:rsidR="00F36E8E" w:rsidRPr="00F36E8E" w:rsidRDefault="00F36E8E" w:rsidP="00F36E8E">
      <w:pPr>
        <w:rPr>
          <w:rFonts w:ascii="Arial" w:hAnsi="Arial" w:cs="Arial"/>
          <w:sz w:val="20"/>
        </w:rPr>
      </w:pPr>
      <w:r w:rsidRPr="00F36E8E">
        <w:rPr>
          <w:rFonts w:ascii="Arial" w:hAnsi="Arial" w:cs="Arial"/>
          <w:b/>
          <w:bCs/>
          <w:sz w:val="20"/>
        </w:rPr>
        <w:t>Fig S17</w:t>
      </w:r>
      <w:r w:rsidRPr="00F36E8E">
        <w:rPr>
          <w:rFonts w:ascii="Arial" w:hAnsi="Arial" w:cs="Arial"/>
          <w:sz w:val="20"/>
        </w:rPr>
        <w:t xml:space="preserve">. Decadal averaged iTRACE modelled </w:t>
      </w:r>
      <w:r w:rsidR="00DE2D31" w:rsidRPr="00F36E8E">
        <w:rPr>
          <w:rFonts w:ascii="Arial" w:hAnsi="Arial" w:cs="Arial"/>
          <w:sz w:val="20"/>
        </w:rPr>
        <w:t xml:space="preserve">temperature (left) </w:t>
      </w:r>
      <w:r w:rsidR="00DE2D31">
        <w:rPr>
          <w:rFonts w:ascii="Arial" w:hAnsi="Arial" w:cs="Arial"/>
          <w:sz w:val="20"/>
        </w:rPr>
        <w:t xml:space="preserve">and </w:t>
      </w:r>
      <w:r w:rsidR="00DE2D31" w:rsidRPr="00F36E8E">
        <w:rPr>
          <w:rFonts w:ascii="Arial" w:hAnsi="Arial" w:cs="Arial"/>
          <w:sz w:val="20"/>
        </w:rPr>
        <w:t>precipitation (right</w:t>
      </w:r>
      <w:r w:rsidR="00DE2D31">
        <w:rPr>
          <w:rFonts w:ascii="Arial" w:hAnsi="Arial" w:cs="Arial"/>
          <w:sz w:val="20"/>
        </w:rPr>
        <w:t>)</w:t>
      </w:r>
      <w:r w:rsidR="00DE2D31" w:rsidRPr="00F36E8E">
        <w:rPr>
          <w:rFonts w:ascii="Arial" w:hAnsi="Arial" w:cs="Arial"/>
          <w:sz w:val="20"/>
        </w:rPr>
        <w:t xml:space="preserve"> </w:t>
      </w:r>
      <w:r w:rsidRPr="00F36E8E">
        <w:rPr>
          <w:rFonts w:ascii="Arial" w:hAnsi="Arial" w:cs="Arial"/>
          <w:sz w:val="20"/>
        </w:rPr>
        <w:t xml:space="preserve">averaged across all grid cells North of 26°S latitude for Australia for A. Annual, B. Summer (December, January, February; DJF), C. Autumn (March, April, May; MAM), D. Winter (June, July, August; JJA) and F. Spring (September, October, November; SON). </w:t>
      </w:r>
    </w:p>
    <w:p w14:paraId="64880BFE" w14:textId="77777777" w:rsidR="00F36E8E" w:rsidRDefault="00F36E8E" w:rsidP="00F36E8E">
      <w:r>
        <w:rPr>
          <w:noProof/>
        </w:rPr>
        <w:lastRenderedPageBreak/>
        <w:drawing>
          <wp:inline distT="0" distB="0" distL="0" distR="0" wp14:anchorId="4FADADEE" wp14:editId="44E0C75E">
            <wp:extent cx="4602351" cy="760666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622096" cy="7639299"/>
                    </a:xfrm>
                    <a:prstGeom prst="rect">
                      <a:avLst/>
                    </a:prstGeom>
                    <a:noFill/>
                    <a:ln>
                      <a:noFill/>
                    </a:ln>
                  </pic:spPr>
                </pic:pic>
              </a:graphicData>
            </a:graphic>
          </wp:inline>
        </w:drawing>
      </w:r>
    </w:p>
    <w:p w14:paraId="4B74AEBC" w14:textId="6A53C3D5" w:rsidR="00F36E8E" w:rsidRDefault="00F36E8E" w:rsidP="00F36E8E">
      <w:pPr>
        <w:rPr>
          <w:rFonts w:ascii="Arial" w:hAnsi="Arial" w:cs="Arial"/>
          <w:sz w:val="20"/>
        </w:rPr>
      </w:pPr>
      <w:r w:rsidRPr="00F36E8E">
        <w:rPr>
          <w:rFonts w:ascii="Arial" w:hAnsi="Arial" w:cs="Arial"/>
          <w:b/>
          <w:bCs/>
          <w:sz w:val="20"/>
        </w:rPr>
        <w:t>Fig S18</w:t>
      </w:r>
      <w:r w:rsidRPr="00F36E8E">
        <w:rPr>
          <w:rFonts w:ascii="Arial" w:hAnsi="Arial" w:cs="Arial"/>
          <w:sz w:val="20"/>
        </w:rPr>
        <w:t xml:space="preserve">. Decadal averaged iTRACE modelled </w:t>
      </w:r>
      <w:r w:rsidR="00DE2D31" w:rsidRPr="00F36E8E">
        <w:rPr>
          <w:rFonts w:ascii="Arial" w:hAnsi="Arial" w:cs="Arial"/>
          <w:sz w:val="20"/>
        </w:rPr>
        <w:t xml:space="preserve">temperature (left) </w:t>
      </w:r>
      <w:r w:rsidR="00DE2D31">
        <w:rPr>
          <w:rFonts w:ascii="Arial" w:hAnsi="Arial" w:cs="Arial"/>
          <w:sz w:val="20"/>
        </w:rPr>
        <w:t xml:space="preserve">and </w:t>
      </w:r>
      <w:r w:rsidR="00DE2D31" w:rsidRPr="00F36E8E">
        <w:rPr>
          <w:rFonts w:ascii="Arial" w:hAnsi="Arial" w:cs="Arial"/>
          <w:sz w:val="20"/>
        </w:rPr>
        <w:t>precipitation (right</w:t>
      </w:r>
      <w:r w:rsidR="00DE2D31">
        <w:rPr>
          <w:rFonts w:ascii="Arial" w:hAnsi="Arial" w:cs="Arial"/>
          <w:sz w:val="20"/>
        </w:rPr>
        <w:t>)</w:t>
      </w:r>
      <w:r w:rsidR="00DE2D31" w:rsidRPr="00F36E8E">
        <w:rPr>
          <w:rFonts w:ascii="Arial" w:hAnsi="Arial" w:cs="Arial"/>
          <w:sz w:val="20"/>
        </w:rPr>
        <w:t xml:space="preserve"> </w:t>
      </w:r>
      <w:r w:rsidRPr="00F36E8E">
        <w:rPr>
          <w:rFonts w:ascii="Arial" w:hAnsi="Arial" w:cs="Arial"/>
          <w:sz w:val="20"/>
        </w:rPr>
        <w:t xml:space="preserve">averaged across all grid cells South of 26°S latitude for Australia for A. Annual, B. Summer (December, January, February; DJF), C. Autumn (March, April, May; MAM), D. Winter (June, July, August; JJA) and F. Spring (September, October, November; SON). </w:t>
      </w:r>
    </w:p>
    <w:p w14:paraId="2A2D76BB" w14:textId="77777777" w:rsidR="00F36E8E" w:rsidRDefault="00F36E8E" w:rsidP="00F36E8E">
      <w:r>
        <w:rPr>
          <w:noProof/>
        </w:rPr>
        <w:lastRenderedPageBreak/>
        <w:drawing>
          <wp:inline distT="0" distB="0" distL="0" distR="0" wp14:anchorId="0B82B7D8" wp14:editId="30D39A82">
            <wp:extent cx="5724525" cy="50387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5038725"/>
                    </a:xfrm>
                    <a:prstGeom prst="rect">
                      <a:avLst/>
                    </a:prstGeom>
                    <a:noFill/>
                    <a:ln>
                      <a:noFill/>
                    </a:ln>
                  </pic:spPr>
                </pic:pic>
              </a:graphicData>
            </a:graphic>
          </wp:inline>
        </w:drawing>
      </w:r>
    </w:p>
    <w:p w14:paraId="2D30A905" w14:textId="4436CE1D" w:rsidR="00F36E8E" w:rsidRPr="00F36E8E" w:rsidRDefault="00F36E8E" w:rsidP="00F36E8E">
      <w:pPr>
        <w:rPr>
          <w:rFonts w:ascii="Arial" w:hAnsi="Arial" w:cs="Arial"/>
          <w:sz w:val="20"/>
        </w:rPr>
      </w:pPr>
      <w:r w:rsidRPr="00F36E8E">
        <w:rPr>
          <w:rFonts w:ascii="Arial" w:hAnsi="Arial" w:cs="Arial"/>
          <w:b/>
          <w:bCs/>
          <w:sz w:val="20"/>
        </w:rPr>
        <w:t>Fig S19</w:t>
      </w:r>
      <w:r w:rsidRPr="00F36E8E">
        <w:rPr>
          <w:rFonts w:ascii="Arial" w:hAnsi="Arial" w:cs="Arial"/>
          <w:sz w:val="20"/>
        </w:rPr>
        <w:t>. Location and mean age of optically stimulated luminescence (OSL) and thermoluminescence (TL) ages from all beach/shoreline, channel and overbank geomorphological features dated within the Lake Eyre Basin and used in Kernel Density Estimates in Fig 4 and Fig S3.</w:t>
      </w:r>
    </w:p>
    <w:p w14:paraId="3ED0EA6D" w14:textId="77777777" w:rsidR="00F36E8E" w:rsidRDefault="00F36E8E" w:rsidP="00F36E8E"/>
    <w:p w14:paraId="6FBE279E" w14:textId="77777777" w:rsidR="00F36E8E" w:rsidRDefault="00F36E8E" w:rsidP="00F36E8E">
      <w:r>
        <w:rPr>
          <w:noProof/>
        </w:rPr>
        <w:lastRenderedPageBreak/>
        <w:drawing>
          <wp:inline distT="0" distB="0" distL="0" distR="0" wp14:anchorId="40DB3A2E" wp14:editId="3553BF18">
            <wp:extent cx="5724525" cy="50387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5038725"/>
                    </a:xfrm>
                    <a:prstGeom prst="rect">
                      <a:avLst/>
                    </a:prstGeom>
                    <a:noFill/>
                    <a:ln>
                      <a:noFill/>
                    </a:ln>
                  </pic:spPr>
                </pic:pic>
              </a:graphicData>
            </a:graphic>
          </wp:inline>
        </w:drawing>
      </w:r>
    </w:p>
    <w:p w14:paraId="6D02D84C" w14:textId="382A1B34" w:rsidR="00F36E8E" w:rsidRPr="00F36E8E" w:rsidRDefault="00F36E8E" w:rsidP="00F36E8E">
      <w:pPr>
        <w:rPr>
          <w:rFonts w:ascii="Arial" w:hAnsi="Arial" w:cs="Arial"/>
          <w:sz w:val="20"/>
        </w:rPr>
      </w:pPr>
      <w:r w:rsidRPr="00F36E8E">
        <w:rPr>
          <w:rFonts w:ascii="Arial" w:hAnsi="Arial" w:cs="Arial"/>
          <w:b/>
          <w:bCs/>
          <w:sz w:val="20"/>
        </w:rPr>
        <w:t>Fig S20</w:t>
      </w:r>
      <w:r w:rsidRPr="00F36E8E">
        <w:rPr>
          <w:rFonts w:ascii="Arial" w:hAnsi="Arial" w:cs="Arial"/>
          <w:sz w:val="20"/>
        </w:rPr>
        <w:t>. Location and mean age of optically stimulated luminescence (OSL) and thermoluminescence (TL) ages from all beach/shoreline, channel and overbank geomorphological features dated within the Murray-Darling Basin and used in Kernel Density Estimates in Fig 4 and Fig S3.</w:t>
      </w:r>
    </w:p>
    <w:p w14:paraId="2130DE36" w14:textId="77777777" w:rsidR="00F36E8E" w:rsidRDefault="00F36E8E" w:rsidP="00F36E8E"/>
    <w:p w14:paraId="6AC9882B" w14:textId="77777777" w:rsidR="00F36E8E" w:rsidRDefault="00F36E8E" w:rsidP="00F36E8E">
      <w:r>
        <w:rPr>
          <w:noProof/>
        </w:rPr>
        <w:lastRenderedPageBreak/>
        <w:drawing>
          <wp:inline distT="0" distB="0" distL="0" distR="0" wp14:anchorId="68D6C106" wp14:editId="11B8040F">
            <wp:extent cx="5724525" cy="50387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5038725"/>
                    </a:xfrm>
                    <a:prstGeom prst="rect">
                      <a:avLst/>
                    </a:prstGeom>
                    <a:noFill/>
                    <a:ln>
                      <a:noFill/>
                    </a:ln>
                  </pic:spPr>
                </pic:pic>
              </a:graphicData>
            </a:graphic>
          </wp:inline>
        </w:drawing>
      </w:r>
    </w:p>
    <w:p w14:paraId="5079CF8F" w14:textId="53717420" w:rsidR="00F36E8E" w:rsidRPr="00F36E8E" w:rsidRDefault="00F36E8E" w:rsidP="00F36E8E">
      <w:pPr>
        <w:rPr>
          <w:rFonts w:ascii="Arial" w:hAnsi="Arial" w:cs="Arial"/>
          <w:sz w:val="20"/>
        </w:rPr>
      </w:pPr>
      <w:r w:rsidRPr="00F36E8E">
        <w:rPr>
          <w:rFonts w:ascii="Arial" w:hAnsi="Arial" w:cs="Arial"/>
          <w:b/>
          <w:bCs/>
          <w:sz w:val="20"/>
        </w:rPr>
        <w:t>Fig S21</w:t>
      </w:r>
      <w:r w:rsidRPr="00F36E8E">
        <w:rPr>
          <w:rFonts w:ascii="Arial" w:hAnsi="Arial" w:cs="Arial"/>
          <w:sz w:val="20"/>
        </w:rPr>
        <w:t xml:space="preserve">. Location and mean age of optically stimulated luminescence, thermoluminescence and uncalibrated radiocarbon ages from the SahulArch database used in analysis. </w:t>
      </w:r>
    </w:p>
    <w:p w14:paraId="1B4BA4F4" w14:textId="77777777" w:rsidR="00B9440A" w:rsidRPr="00DC623A" w:rsidRDefault="00B9440A" w:rsidP="00B9440A">
      <w:pPr>
        <w:pStyle w:val="SMcaption"/>
        <w:rPr>
          <w:rFonts w:ascii="Arial" w:hAnsi="Arial" w:cs="Arial"/>
          <w:sz w:val="20"/>
        </w:rPr>
      </w:pPr>
    </w:p>
    <w:p w14:paraId="0AA738C7" w14:textId="2251832D" w:rsidR="00CC4449" w:rsidRDefault="00CC4449">
      <w:pPr>
        <w:rPr>
          <w:rFonts w:ascii="Arial" w:hAnsi="Arial" w:cs="Arial"/>
          <w:sz w:val="20"/>
        </w:rPr>
      </w:pPr>
      <w:r>
        <w:rPr>
          <w:rFonts w:ascii="Arial" w:hAnsi="Arial" w:cs="Arial"/>
          <w:sz w:val="20"/>
        </w:rPr>
        <w:br w:type="page"/>
      </w:r>
    </w:p>
    <w:p w14:paraId="6C96BED5" w14:textId="4B2FC6DA" w:rsidR="00820484" w:rsidRPr="00DC623A" w:rsidRDefault="00F514EC" w:rsidP="00477182">
      <w:pPr>
        <w:pStyle w:val="SMcaption"/>
        <w:rPr>
          <w:rFonts w:ascii="Arial" w:hAnsi="Arial" w:cs="Arial"/>
          <w:b/>
          <w:sz w:val="20"/>
        </w:rPr>
      </w:pPr>
      <w:r w:rsidRPr="00DC623A">
        <w:rPr>
          <w:rFonts w:ascii="Arial" w:hAnsi="Arial" w:cs="Arial"/>
          <w:b/>
          <w:sz w:val="20"/>
        </w:rPr>
        <w:lastRenderedPageBreak/>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0BF063ED" w14:textId="5A162B7D" w:rsidR="00CC4449" w:rsidRPr="00CC4449" w:rsidRDefault="00CC4449" w:rsidP="00CC4449">
      <w:pPr>
        <w:widowControl w:val="0"/>
        <w:autoSpaceDE w:val="0"/>
        <w:autoSpaceDN w:val="0"/>
        <w:adjustRightInd w:val="0"/>
        <w:ind w:left="640" w:hanging="640"/>
        <w:rPr>
          <w:rFonts w:ascii="Arial" w:hAnsi="Arial" w:cs="Arial"/>
          <w:noProof/>
          <w:sz w:val="20"/>
          <w:szCs w:val="24"/>
        </w:rPr>
      </w:pPr>
      <w:r>
        <w:rPr>
          <w:rFonts w:ascii="Arial" w:hAnsi="Arial" w:cs="Arial"/>
          <w:sz w:val="20"/>
        </w:rPr>
        <w:fldChar w:fldCharType="begin" w:fldLock="1"/>
      </w:r>
      <w:r>
        <w:rPr>
          <w:rFonts w:ascii="Arial" w:hAnsi="Arial" w:cs="Arial"/>
          <w:sz w:val="20"/>
        </w:rPr>
        <w:instrText xml:space="preserve">ADDIN Mendeley Bibliography CSL_BIBLIOGRAPHY </w:instrText>
      </w:r>
      <w:r>
        <w:rPr>
          <w:rFonts w:ascii="Arial" w:hAnsi="Arial" w:cs="Arial"/>
          <w:sz w:val="20"/>
        </w:rPr>
        <w:fldChar w:fldCharType="separate"/>
      </w:r>
      <w:r w:rsidRPr="00CC4449">
        <w:rPr>
          <w:rFonts w:ascii="Arial" w:hAnsi="Arial" w:cs="Arial"/>
          <w:noProof/>
          <w:sz w:val="20"/>
          <w:szCs w:val="24"/>
        </w:rPr>
        <w:t xml:space="preserve">1. </w:t>
      </w:r>
      <w:r w:rsidRPr="00CC4449">
        <w:rPr>
          <w:rFonts w:ascii="Arial" w:hAnsi="Arial" w:cs="Arial"/>
          <w:noProof/>
          <w:sz w:val="20"/>
          <w:szCs w:val="24"/>
        </w:rPr>
        <w:tab/>
        <w:t xml:space="preserve">J. E. Tierney, C. J. Poulsen, I. P. Montañez, T. Bhattacharya, R. Feng, H. L. Ford, B. Hönisch, G. N. Inglis, S. V. Petersen, N. Sagoo, </w:t>
      </w:r>
      <w:r w:rsidRPr="00CC4449">
        <w:rPr>
          <w:rFonts w:ascii="Arial" w:hAnsi="Arial" w:cs="Arial"/>
          <w:i/>
          <w:iCs/>
          <w:noProof/>
          <w:sz w:val="20"/>
          <w:szCs w:val="24"/>
        </w:rPr>
        <w:t>et al.</w:t>
      </w:r>
      <w:r w:rsidRPr="00CC4449">
        <w:rPr>
          <w:rFonts w:ascii="Arial" w:hAnsi="Arial" w:cs="Arial"/>
          <w:noProof/>
          <w:sz w:val="20"/>
          <w:szCs w:val="24"/>
        </w:rPr>
        <w:t xml:space="preserve">, Past climates inform our future. </w:t>
      </w:r>
      <w:r w:rsidRPr="00CC4449">
        <w:rPr>
          <w:rFonts w:ascii="Arial" w:hAnsi="Arial" w:cs="Arial"/>
          <w:i/>
          <w:iCs/>
          <w:noProof/>
          <w:sz w:val="20"/>
          <w:szCs w:val="24"/>
        </w:rPr>
        <w:t>Science (80-. ).</w:t>
      </w:r>
      <w:r w:rsidRPr="00CC4449">
        <w:rPr>
          <w:rFonts w:ascii="Arial" w:hAnsi="Arial" w:cs="Arial"/>
          <w:noProof/>
          <w:sz w:val="20"/>
          <w:szCs w:val="24"/>
        </w:rPr>
        <w:t xml:space="preserve"> </w:t>
      </w:r>
      <w:r w:rsidRPr="00CC4449">
        <w:rPr>
          <w:rFonts w:ascii="Arial" w:hAnsi="Arial" w:cs="Arial"/>
          <w:b/>
          <w:bCs/>
          <w:noProof/>
          <w:sz w:val="20"/>
          <w:szCs w:val="24"/>
        </w:rPr>
        <w:t>370</w:t>
      </w:r>
      <w:r w:rsidRPr="00CC4449">
        <w:rPr>
          <w:rFonts w:ascii="Arial" w:hAnsi="Arial" w:cs="Arial"/>
          <w:noProof/>
          <w:sz w:val="20"/>
          <w:szCs w:val="24"/>
        </w:rPr>
        <w:t xml:space="preserve"> (2020).</w:t>
      </w:r>
    </w:p>
    <w:p w14:paraId="20362E5A"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2. </w:t>
      </w:r>
      <w:r w:rsidRPr="00CC4449">
        <w:rPr>
          <w:rFonts w:ascii="Arial" w:hAnsi="Arial" w:cs="Arial"/>
          <w:noProof/>
          <w:sz w:val="20"/>
          <w:szCs w:val="24"/>
        </w:rPr>
        <w:tab/>
        <w:t xml:space="preserve">C. He, Z. Liu, B. L. Otto-Bliesner, E. C. Brady, C. Zhu, R. Tomas, S. Gu, J. Han, Y. Jin, Deglacial variability of South China hydroclimate heavily contributed by autumn rainfall. </w:t>
      </w:r>
      <w:r w:rsidRPr="00CC4449">
        <w:rPr>
          <w:rFonts w:ascii="Arial" w:hAnsi="Arial" w:cs="Arial"/>
          <w:i/>
          <w:iCs/>
          <w:noProof/>
          <w:sz w:val="20"/>
          <w:szCs w:val="24"/>
        </w:rPr>
        <w:t>Nat. Commun.</w:t>
      </w:r>
      <w:r w:rsidRPr="00CC4449">
        <w:rPr>
          <w:rFonts w:ascii="Arial" w:hAnsi="Arial" w:cs="Arial"/>
          <w:noProof/>
          <w:sz w:val="20"/>
          <w:szCs w:val="24"/>
        </w:rPr>
        <w:t xml:space="preserve"> </w:t>
      </w:r>
      <w:r w:rsidRPr="00CC4449">
        <w:rPr>
          <w:rFonts w:ascii="Arial" w:hAnsi="Arial" w:cs="Arial"/>
          <w:b/>
          <w:bCs/>
          <w:noProof/>
          <w:sz w:val="20"/>
          <w:szCs w:val="24"/>
        </w:rPr>
        <w:t>12</w:t>
      </w:r>
      <w:r w:rsidRPr="00CC4449">
        <w:rPr>
          <w:rFonts w:ascii="Arial" w:hAnsi="Arial" w:cs="Arial"/>
          <w:noProof/>
          <w:sz w:val="20"/>
          <w:szCs w:val="24"/>
        </w:rPr>
        <w:t>, 5875 (2021).</w:t>
      </w:r>
    </w:p>
    <w:p w14:paraId="599CEF76"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3. </w:t>
      </w:r>
      <w:r w:rsidRPr="00CC4449">
        <w:rPr>
          <w:rFonts w:ascii="Arial" w:hAnsi="Arial" w:cs="Arial"/>
          <w:noProof/>
          <w:sz w:val="20"/>
          <w:szCs w:val="24"/>
        </w:rPr>
        <w:tab/>
        <w:t xml:space="preserve">L. Comas-Bru, K. Rehfeld, C. Roesch, S. Amirnezhad-Mozhdehi, S. P. Harrison, K. Atsawawaranunt, S. M. Ahmad, Y. A. Brahim, A. Baker, M. Bosomworth, </w:t>
      </w:r>
      <w:r w:rsidRPr="00CC4449">
        <w:rPr>
          <w:rFonts w:ascii="Arial" w:hAnsi="Arial" w:cs="Arial"/>
          <w:i/>
          <w:iCs/>
          <w:noProof/>
          <w:sz w:val="20"/>
          <w:szCs w:val="24"/>
        </w:rPr>
        <w:t>et al.</w:t>
      </w:r>
      <w:r w:rsidRPr="00CC4449">
        <w:rPr>
          <w:rFonts w:ascii="Arial" w:hAnsi="Arial" w:cs="Arial"/>
          <w:noProof/>
          <w:sz w:val="20"/>
          <w:szCs w:val="24"/>
        </w:rPr>
        <w:t xml:space="preserve">, SISALv2: A comprehensive speleothem isotope database with multiple age-depth models. </w:t>
      </w:r>
      <w:r w:rsidRPr="00CC4449">
        <w:rPr>
          <w:rFonts w:ascii="Arial" w:hAnsi="Arial" w:cs="Arial"/>
          <w:i/>
          <w:iCs/>
          <w:noProof/>
          <w:sz w:val="20"/>
          <w:szCs w:val="24"/>
        </w:rPr>
        <w:t>Earth Syst. Sci. Data</w:t>
      </w:r>
      <w:r w:rsidRPr="00CC4449">
        <w:rPr>
          <w:rFonts w:ascii="Arial" w:hAnsi="Arial" w:cs="Arial"/>
          <w:noProof/>
          <w:sz w:val="20"/>
          <w:szCs w:val="24"/>
        </w:rPr>
        <w:t xml:space="preserve"> </w:t>
      </w:r>
      <w:r w:rsidRPr="00CC4449">
        <w:rPr>
          <w:rFonts w:ascii="Arial" w:hAnsi="Arial" w:cs="Arial"/>
          <w:b/>
          <w:bCs/>
          <w:noProof/>
          <w:sz w:val="20"/>
          <w:szCs w:val="24"/>
        </w:rPr>
        <w:t>12</w:t>
      </w:r>
      <w:r w:rsidRPr="00CC4449">
        <w:rPr>
          <w:rFonts w:ascii="Arial" w:hAnsi="Arial" w:cs="Arial"/>
          <w:noProof/>
          <w:sz w:val="20"/>
          <w:szCs w:val="24"/>
        </w:rPr>
        <w:t>, 2579–2606 (2020).</w:t>
      </w:r>
    </w:p>
    <w:p w14:paraId="749B679E"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4. </w:t>
      </w:r>
      <w:r w:rsidRPr="00CC4449">
        <w:rPr>
          <w:rFonts w:ascii="Arial" w:hAnsi="Arial" w:cs="Arial"/>
          <w:noProof/>
          <w:sz w:val="20"/>
          <w:szCs w:val="24"/>
        </w:rPr>
        <w:tab/>
        <w:t xml:space="preserve">H. Cadd, L. Petherick, J. Tyler, A. Herbert, T. J. Cohen, K. Sniderman, T. T. Barrows, R. H. Fulop, J. Knight, A. P. Kershaw, </w:t>
      </w:r>
      <w:r w:rsidRPr="00CC4449">
        <w:rPr>
          <w:rFonts w:ascii="Arial" w:hAnsi="Arial" w:cs="Arial"/>
          <w:i/>
          <w:iCs/>
          <w:noProof/>
          <w:sz w:val="20"/>
          <w:szCs w:val="24"/>
        </w:rPr>
        <w:t>et al.</w:t>
      </w:r>
      <w:r w:rsidRPr="00CC4449">
        <w:rPr>
          <w:rFonts w:ascii="Arial" w:hAnsi="Arial" w:cs="Arial"/>
          <w:noProof/>
          <w:sz w:val="20"/>
          <w:szCs w:val="24"/>
        </w:rPr>
        <w:t xml:space="preserve">, A continental perspective on the timing of environmental change during the last glacial stage in Australia. </w:t>
      </w:r>
      <w:r w:rsidRPr="00CC4449">
        <w:rPr>
          <w:rFonts w:ascii="Arial" w:hAnsi="Arial" w:cs="Arial"/>
          <w:i/>
          <w:iCs/>
          <w:noProof/>
          <w:sz w:val="20"/>
          <w:szCs w:val="24"/>
        </w:rPr>
        <w:t>Quat. Res.</w:t>
      </w:r>
      <w:r w:rsidRPr="00CC4449">
        <w:rPr>
          <w:rFonts w:ascii="Arial" w:hAnsi="Arial" w:cs="Arial"/>
          <w:noProof/>
          <w:sz w:val="20"/>
          <w:szCs w:val="24"/>
        </w:rPr>
        <w:t xml:space="preserve"> </w:t>
      </w:r>
      <w:r w:rsidRPr="00CC4449">
        <w:rPr>
          <w:rFonts w:ascii="Arial" w:hAnsi="Arial" w:cs="Arial"/>
          <w:b/>
          <w:bCs/>
          <w:noProof/>
          <w:sz w:val="20"/>
          <w:szCs w:val="24"/>
        </w:rPr>
        <w:t>102</w:t>
      </w:r>
      <w:r w:rsidRPr="00CC4449">
        <w:rPr>
          <w:rFonts w:ascii="Arial" w:hAnsi="Arial" w:cs="Arial"/>
          <w:noProof/>
          <w:sz w:val="20"/>
          <w:szCs w:val="24"/>
        </w:rPr>
        <w:t>, 5–23 (2021).</w:t>
      </w:r>
    </w:p>
    <w:p w14:paraId="08E30BDE"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5. </w:t>
      </w:r>
      <w:r w:rsidRPr="00CC4449">
        <w:rPr>
          <w:rFonts w:ascii="Arial" w:hAnsi="Arial" w:cs="Arial"/>
          <w:noProof/>
          <w:sz w:val="20"/>
          <w:szCs w:val="24"/>
        </w:rPr>
        <w:tab/>
        <w:t xml:space="preserve">W. J. Bond, F. I. Woodward, G. F. Midgley, The global distribution of ecosystems in a world without fire. </w:t>
      </w:r>
      <w:r w:rsidRPr="00CC4449">
        <w:rPr>
          <w:rFonts w:ascii="Arial" w:hAnsi="Arial" w:cs="Arial"/>
          <w:i/>
          <w:iCs/>
          <w:noProof/>
          <w:sz w:val="20"/>
          <w:szCs w:val="24"/>
        </w:rPr>
        <w:t>New Phytol.</w:t>
      </w:r>
      <w:r w:rsidRPr="00CC4449">
        <w:rPr>
          <w:rFonts w:ascii="Arial" w:hAnsi="Arial" w:cs="Arial"/>
          <w:noProof/>
          <w:sz w:val="20"/>
          <w:szCs w:val="24"/>
        </w:rPr>
        <w:t xml:space="preserve"> </w:t>
      </w:r>
      <w:r w:rsidRPr="00CC4449">
        <w:rPr>
          <w:rFonts w:ascii="Arial" w:hAnsi="Arial" w:cs="Arial"/>
          <w:b/>
          <w:bCs/>
          <w:noProof/>
          <w:sz w:val="20"/>
          <w:szCs w:val="24"/>
        </w:rPr>
        <w:t>165</w:t>
      </w:r>
      <w:r w:rsidRPr="00CC4449">
        <w:rPr>
          <w:rFonts w:ascii="Arial" w:hAnsi="Arial" w:cs="Arial"/>
          <w:noProof/>
          <w:sz w:val="20"/>
          <w:szCs w:val="24"/>
        </w:rPr>
        <w:t>, 525–538 (2005).</w:t>
      </w:r>
    </w:p>
    <w:p w14:paraId="094AF3AE"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6. </w:t>
      </w:r>
      <w:r w:rsidRPr="00CC4449">
        <w:rPr>
          <w:rFonts w:ascii="Arial" w:hAnsi="Arial" w:cs="Arial"/>
          <w:noProof/>
          <w:sz w:val="20"/>
          <w:szCs w:val="24"/>
        </w:rPr>
        <w:tab/>
        <w:t xml:space="preserve">W. J. Bond, G. F. Midgley, F. I. Woodward, The importance of low atmospheric CO2 and fire in promoting the spread of grasslands and savannas. </w:t>
      </w:r>
      <w:r w:rsidRPr="00CC4449">
        <w:rPr>
          <w:rFonts w:ascii="Arial" w:hAnsi="Arial" w:cs="Arial"/>
          <w:i/>
          <w:iCs/>
          <w:noProof/>
          <w:sz w:val="20"/>
          <w:szCs w:val="24"/>
        </w:rPr>
        <w:t>Glob. Chang. Biol.</w:t>
      </w:r>
      <w:r w:rsidRPr="00CC4449">
        <w:rPr>
          <w:rFonts w:ascii="Arial" w:hAnsi="Arial" w:cs="Arial"/>
          <w:noProof/>
          <w:sz w:val="20"/>
          <w:szCs w:val="24"/>
        </w:rPr>
        <w:t xml:space="preserve"> </w:t>
      </w:r>
      <w:r w:rsidRPr="00CC4449">
        <w:rPr>
          <w:rFonts w:ascii="Arial" w:hAnsi="Arial" w:cs="Arial"/>
          <w:b/>
          <w:bCs/>
          <w:noProof/>
          <w:sz w:val="20"/>
          <w:szCs w:val="24"/>
        </w:rPr>
        <w:t>9</w:t>
      </w:r>
      <w:r w:rsidRPr="00CC4449">
        <w:rPr>
          <w:rFonts w:ascii="Arial" w:hAnsi="Arial" w:cs="Arial"/>
          <w:noProof/>
          <w:sz w:val="20"/>
          <w:szCs w:val="24"/>
        </w:rPr>
        <w:t>, 973–982 (2003).</w:t>
      </w:r>
    </w:p>
    <w:p w14:paraId="1B731E40"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7. </w:t>
      </w:r>
      <w:r w:rsidRPr="00CC4449">
        <w:rPr>
          <w:rFonts w:ascii="Arial" w:hAnsi="Arial" w:cs="Arial"/>
          <w:noProof/>
          <w:sz w:val="20"/>
          <w:szCs w:val="24"/>
        </w:rPr>
        <w:tab/>
        <w:t xml:space="preserve">S. A. Cowling, M. T. Sykes, Physiological Significance of Low Atmospheric CO 2 for Plant–Climate Interactions. </w:t>
      </w:r>
      <w:r w:rsidRPr="00CC4449">
        <w:rPr>
          <w:rFonts w:ascii="Arial" w:hAnsi="Arial" w:cs="Arial"/>
          <w:i/>
          <w:iCs/>
          <w:noProof/>
          <w:sz w:val="20"/>
          <w:szCs w:val="24"/>
        </w:rPr>
        <w:t>Quat. Res.</w:t>
      </w:r>
      <w:r w:rsidRPr="00CC4449">
        <w:rPr>
          <w:rFonts w:ascii="Arial" w:hAnsi="Arial" w:cs="Arial"/>
          <w:noProof/>
          <w:sz w:val="20"/>
          <w:szCs w:val="24"/>
        </w:rPr>
        <w:t xml:space="preserve"> </w:t>
      </w:r>
      <w:r w:rsidRPr="00CC4449">
        <w:rPr>
          <w:rFonts w:ascii="Arial" w:hAnsi="Arial" w:cs="Arial"/>
          <w:b/>
          <w:bCs/>
          <w:noProof/>
          <w:sz w:val="20"/>
          <w:szCs w:val="24"/>
        </w:rPr>
        <w:t>52</w:t>
      </w:r>
      <w:r w:rsidRPr="00CC4449">
        <w:rPr>
          <w:rFonts w:ascii="Arial" w:hAnsi="Arial" w:cs="Arial"/>
          <w:noProof/>
          <w:sz w:val="20"/>
          <w:szCs w:val="24"/>
        </w:rPr>
        <w:t>, 237–242 (1999).</w:t>
      </w:r>
    </w:p>
    <w:p w14:paraId="2A5C2E08"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8. </w:t>
      </w:r>
      <w:r w:rsidRPr="00CC4449">
        <w:rPr>
          <w:rFonts w:ascii="Arial" w:hAnsi="Arial" w:cs="Arial"/>
          <w:noProof/>
          <w:sz w:val="20"/>
          <w:szCs w:val="24"/>
        </w:rPr>
        <w:tab/>
        <w:t xml:space="preserve">I. C. Prentice, S. F. Cleator, Y. H. Huang, S. P. Harrison, I. Roulstone, Reconstructing ice-age palaeoclimates: Quantifying low-CO2effects on plants. </w:t>
      </w:r>
      <w:r w:rsidRPr="00CC4449">
        <w:rPr>
          <w:rFonts w:ascii="Arial" w:hAnsi="Arial" w:cs="Arial"/>
          <w:i/>
          <w:iCs/>
          <w:noProof/>
          <w:sz w:val="20"/>
          <w:szCs w:val="24"/>
        </w:rPr>
        <w:t>Glob. Planet. Change</w:t>
      </w:r>
      <w:r w:rsidRPr="00CC4449">
        <w:rPr>
          <w:rFonts w:ascii="Arial" w:hAnsi="Arial" w:cs="Arial"/>
          <w:noProof/>
          <w:sz w:val="20"/>
          <w:szCs w:val="24"/>
        </w:rPr>
        <w:t xml:space="preserve"> </w:t>
      </w:r>
      <w:r w:rsidRPr="00CC4449">
        <w:rPr>
          <w:rFonts w:ascii="Arial" w:hAnsi="Arial" w:cs="Arial"/>
          <w:b/>
          <w:bCs/>
          <w:noProof/>
          <w:sz w:val="20"/>
          <w:szCs w:val="24"/>
        </w:rPr>
        <w:t>149</w:t>
      </w:r>
      <w:r w:rsidRPr="00CC4449">
        <w:rPr>
          <w:rFonts w:ascii="Arial" w:hAnsi="Arial" w:cs="Arial"/>
          <w:noProof/>
          <w:sz w:val="20"/>
          <w:szCs w:val="24"/>
        </w:rPr>
        <w:t>, 166–176 (2017).</w:t>
      </w:r>
    </w:p>
    <w:p w14:paraId="2D5EA5E6"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9. </w:t>
      </w:r>
      <w:r w:rsidRPr="00CC4449">
        <w:rPr>
          <w:rFonts w:ascii="Arial" w:hAnsi="Arial" w:cs="Arial"/>
          <w:noProof/>
          <w:sz w:val="20"/>
          <w:szCs w:val="24"/>
        </w:rPr>
        <w:tab/>
        <w:t xml:space="preserve">A. T. Codilean, H. Munack, W. M. Saktura, T. J. Cohen, Z. Jacobs, S. Ulm, P. P. Hesse, J. Heyman, K. J. Peters, A. N. Williams, </w:t>
      </w:r>
      <w:r w:rsidRPr="00CC4449">
        <w:rPr>
          <w:rFonts w:ascii="Arial" w:hAnsi="Arial" w:cs="Arial"/>
          <w:i/>
          <w:iCs/>
          <w:noProof/>
          <w:sz w:val="20"/>
          <w:szCs w:val="24"/>
        </w:rPr>
        <w:t>et al.</w:t>
      </w:r>
      <w:r w:rsidRPr="00CC4449">
        <w:rPr>
          <w:rFonts w:ascii="Arial" w:hAnsi="Arial" w:cs="Arial"/>
          <w:noProof/>
          <w:sz w:val="20"/>
          <w:szCs w:val="24"/>
        </w:rPr>
        <w:t xml:space="preserve">, OCTOPUS database (v.2). </w:t>
      </w:r>
      <w:r w:rsidRPr="00CC4449">
        <w:rPr>
          <w:rFonts w:ascii="Arial" w:hAnsi="Arial" w:cs="Arial"/>
          <w:i/>
          <w:iCs/>
          <w:noProof/>
          <w:sz w:val="20"/>
          <w:szCs w:val="24"/>
        </w:rPr>
        <w:t>Earth Syst. Sci. Data</w:t>
      </w:r>
      <w:r w:rsidRPr="00CC4449">
        <w:rPr>
          <w:rFonts w:ascii="Arial" w:hAnsi="Arial" w:cs="Arial"/>
          <w:noProof/>
          <w:sz w:val="20"/>
          <w:szCs w:val="24"/>
        </w:rPr>
        <w:t xml:space="preserve"> </w:t>
      </w:r>
      <w:r w:rsidRPr="00CC4449">
        <w:rPr>
          <w:rFonts w:ascii="Arial" w:hAnsi="Arial" w:cs="Arial"/>
          <w:b/>
          <w:bCs/>
          <w:noProof/>
          <w:sz w:val="20"/>
          <w:szCs w:val="24"/>
        </w:rPr>
        <w:t>14</w:t>
      </w:r>
      <w:r w:rsidRPr="00CC4449">
        <w:rPr>
          <w:rFonts w:ascii="Arial" w:hAnsi="Arial" w:cs="Arial"/>
          <w:noProof/>
          <w:sz w:val="20"/>
          <w:szCs w:val="24"/>
        </w:rPr>
        <w:t>, 3695–3713 (2022).</w:t>
      </w:r>
    </w:p>
    <w:p w14:paraId="230F3CDA"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10. </w:t>
      </w:r>
      <w:r w:rsidRPr="00CC4449">
        <w:rPr>
          <w:rFonts w:ascii="Arial" w:hAnsi="Arial" w:cs="Arial"/>
          <w:noProof/>
          <w:sz w:val="20"/>
          <w:szCs w:val="24"/>
        </w:rPr>
        <w:tab/>
        <w:t>W. M. Saktura, H. Munack, A. T. Codilean, R. Wood, F. Petchey, Z. Jacobs, A. Williams, S. Ulm, OCTOPUS Database v.2: The SahulArch Radiocarbon collection. Sahul-wide database of published archaeological records with radiometric ages (2021) https:/doi.org/10.25900/2mb4-rr36.</w:t>
      </w:r>
    </w:p>
    <w:p w14:paraId="1A9E37F0"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11. </w:t>
      </w:r>
      <w:r w:rsidRPr="00CC4449">
        <w:rPr>
          <w:rFonts w:ascii="Arial" w:hAnsi="Arial" w:cs="Arial"/>
          <w:noProof/>
          <w:sz w:val="20"/>
          <w:szCs w:val="24"/>
        </w:rPr>
        <w:tab/>
        <w:t xml:space="preserve">W. M. Saktura, E. Rehn, L. Linnenlucke, H. Munack, R. Wood, F. Petchey, A. T. Codilean, Z. Jacobs, T. J. Cohen, A. N. Williams, </w:t>
      </w:r>
      <w:r w:rsidRPr="00CC4449">
        <w:rPr>
          <w:rFonts w:ascii="Arial" w:hAnsi="Arial" w:cs="Arial"/>
          <w:i/>
          <w:iCs/>
          <w:noProof/>
          <w:sz w:val="20"/>
          <w:szCs w:val="24"/>
        </w:rPr>
        <w:t>et al.</w:t>
      </w:r>
      <w:r w:rsidRPr="00CC4449">
        <w:rPr>
          <w:rFonts w:ascii="Arial" w:hAnsi="Arial" w:cs="Arial"/>
          <w:noProof/>
          <w:sz w:val="20"/>
          <w:szCs w:val="24"/>
        </w:rPr>
        <w:t xml:space="preserve">, SahulArch: A geochronological database for the archaeology of Sahul. </w:t>
      </w:r>
      <w:r w:rsidRPr="00CC4449">
        <w:rPr>
          <w:rFonts w:ascii="Arial" w:hAnsi="Arial" w:cs="Arial"/>
          <w:i/>
          <w:iCs/>
          <w:noProof/>
          <w:sz w:val="20"/>
          <w:szCs w:val="24"/>
        </w:rPr>
        <w:t>Aust. Archaeol.</w:t>
      </w:r>
      <w:r w:rsidRPr="00CC4449">
        <w:rPr>
          <w:rFonts w:ascii="Arial" w:hAnsi="Arial" w:cs="Arial"/>
          <w:noProof/>
          <w:sz w:val="20"/>
          <w:szCs w:val="24"/>
        </w:rPr>
        <w:t>, 1–13 (2023).</w:t>
      </w:r>
    </w:p>
    <w:p w14:paraId="42D4A344"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12. </w:t>
      </w:r>
      <w:r w:rsidRPr="00CC4449">
        <w:rPr>
          <w:rFonts w:ascii="Arial" w:hAnsi="Arial" w:cs="Arial"/>
          <w:noProof/>
          <w:sz w:val="20"/>
          <w:szCs w:val="24"/>
        </w:rPr>
        <w:tab/>
        <w:t xml:space="preserve">A. G. Hogg, T. J. Heaton, Q. Hua, J. G. Palmer, C. S. Turney, J. Southon, A. Bayliss, P. G. Blackwell, G. Boswijk, C. Bronk Ramsey, </w:t>
      </w:r>
      <w:r w:rsidRPr="00CC4449">
        <w:rPr>
          <w:rFonts w:ascii="Arial" w:hAnsi="Arial" w:cs="Arial"/>
          <w:i/>
          <w:iCs/>
          <w:noProof/>
          <w:sz w:val="20"/>
          <w:szCs w:val="24"/>
        </w:rPr>
        <w:t>et al.</w:t>
      </w:r>
      <w:r w:rsidRPr="00CC4449">
        <w:rPr>
          <w:rFonts w:ascii="Arial" w:hAnsi="Arial" w:cs="Arial"/>
          <w:noProof/>
          <w:sz w:val="20"/>
          <w:szCs w:val="24"/>
        </w:rPr>
        <w:t xml:space="preserve">, SHCal20 Southern Hemisphere Calibration, 0–55,000 Years cal BP. </w:t>
      </w:r>
      <w:r w:rsidRPr="00CC4449">
        <w:rPr>
          <w:rFonts w:ascii="Arial" w:hAnsi="Arial" w:cs="Arial"/>
          <w:i/>
          <w:iCs/>
          <w:noProof/>
          <w:sz w:val="20"/>
          <w:szCs w:val="24"/>
        </w:rPr>
        <w:t>Radiocarbon</w:t>
      </w:r>
      <w:r w:rsidRPr="00CC4449">
        <w:rPr>
          <w:rFonts w:ascii="Arial" w:hAnsi="Arial" w:cs="Arial"/>
          <w:noProof/>
          <w:sz w:val="20"/>
          <w:szCs w:val="24"/>
        </w:rPr>
        <w:t xml:space="preserve"> </w:t>
      </w:r>
      <w:r w:rsidRPr="00CC4449">
        <w:rPr>
          <w:rFonts w:ascii="Arial" w:hAnsi="Arial" w:cs="Arial"/>
          <w:b/>
          <w:bCs/>
          <w:noProof/>
          <w:sz w:val="20"/>
          <w:szCs w:val="24"/>
        </w:rPr>
        <w:t>62</w:t>
      </w:r>
      <w:r w:rsidRPr="00CC4449">
        <w:rPr>
          <w:rFonts w:ascii="Arial" w:hAnsi="Arial" w:cs="Arial"/>
          <w:noProof/>
          <w:sz w:val="20"/>
          <w:szCs w:val="24"/>
        </w:rPr>
        <w:t>, 759–778 (2020).</w:t>
      </w:r>
    </w:p>
    <w:p w14:paraId="72884091"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13. </w:t>
      </w:r>
      <w:r w:rsidRPr="00CC4449">
        <w:rPr>
          <w:rFonts w:ascii="Arial" w:hAnsi="Arial" w:cs="Arial"/>
          <w:noProof/>
          <w:sz w:val="20"/>
          <w:szCs w:val="24"/>
        </w:rPr>
        <w:tab/>
        <w:t xml:space="preserve">T. J. Heaton, P. Köhler, M. Butzin, E. Bard, R. W. Reimer, W. E. N. Austin, C. Bronk Ramsey, P. M. Grootes, K. A. Hughen, B. Kromer, </w:t>
      </w:r>
      <w:r w:rsidRPr="00CC4449">
        <w:rPr>
          <w:rFonts w:ascii="Arial" w:hAnsi="Arial" w:cs="Arial"/>
          <w:i/>
          <w:iCs/>
          <w:noProof/>
          <w:sz w:val="20"/>
          <w:szCs w:val="24"/>
        </w:rPr>
        <w:t>et al.</w:t>
      </w:r>
      <w:r w:rsidRPr="00CC4449">
        <w:rPr>
          <w:rFonts w:ascii="Arial" w:hAnsi="Arial" w:cs="Arial"/>
          <w:noProof/>
          <w:sz w:val="20"/>
          <w:szCs w:val="24"/>
        </w:rPr>
        <w:t xml:space="preserve">, Marine20—The Marine Radiocarbon Age Calibration Curve (0–55,000 cal BP). </w:t>
      </w:r>
      <w:r w:rsidRPr="00CC4449">
        <w:rPr>
          <w:rFonts w:ascii="Arial" w:hAnsi="Arial" w:cs="Arial"/>
          <w:i/>
          <w:iCs/>
          <w:noProof/>
          <w:sz w:val="20"/>
          <w:szCs w:val="24"/>
        </w:rPr>
        <w:t>Radiocarbon</w:t>
      </w:r>
      <w:r w:rsidRPr="00CC4449">
        <w:rPr>
          <w:rFonts w:ascii="Arial" w:hAnsi="Arial" w:cs="Arial"/>
          <w:noProof/>
          <w:sz w:val="20"/>
          <w:szCs w:val="24"/>
        </w:rPr>
        <w:t xml:space="preserve"> </w:t>
      </w:r>
      <w:r w:rsidRPr="00CC4449">
        <w:rPr>
          <w:rFonts w:ascii="Arial" w:hAnsi="Arial" w:cs="Arial"/>
          <w:b/>
          <w:bCs/>
          <w:noProof/>
          <w:sz w:val="20"/>
          <w:szCs w:val="24"/>
        </w:rPr>
        <w:t>62</w:t>
      </w:r>
      <w:r w:rsidRPr="00CC4449">
        <w:rPr>
          <w:rFonts w:ascii="Arial" w:hAnsi="Arial" w:cs="Arial"/>
          <w:noProof/>
          <w:sz w:val="20"/>
          <w:szCs w:val="24"/>
        </w:rPr>
        <w:t>, 779–820 (2020).</w:t>
      </w:r>
    </w:p>
    <w:p w14:paraId="7021E4D9"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14. </w:t>
      </w:r>
      <w:r w:rsidRPr="00CC4449">
        <w:rPr>
          <w:rFonts w:ascii="Arial" w:hAnsi="Arial" w:cs="Arial"/>
          <w:noProof/>
          <w:sz w:val="20"/>
          <w:szCs w:val="24"/>
        </w:rPr>
        <w:tab/>
        <w:t xml:space="preserve">T. R. McLaughlin, On Applications of Space–Time Modelling with Open-Source 14 C Age Calibration. </w:t>
      </w:r>
      <w:r w:rsidRPr="00CC4449">
        <w:rPr>
          <w:rFonts w:ascii="Arial" w:hAnsi="Arial" w:cs="Arial"/>
          <w:i/>
          <w:iCs/>
          <w:noProof/>
          <w:sz w:val="20"/>
          <w:szCs w:val="24"/>
        </w:rPr>
        <w:t>J. Archaeol. Method Theory</w:t>
      </w:r>
      <w:r w:rsidRPr="00CC4449">
        <w:rPr>
          <w:rFonts w:ascii="Arial" w:hAnsi="Arial" w:cs="Arial"/>
          <w:noProof/>
          <w:sz w:val="20"/>
          <w:szCs w:val="24"/>
        </w:rPr>
        <w:t xml:space="preserve"> </w:t>
      </w:r>
      <w:r w:rsidRPr="00CC4449">
        <w:rPr>
          <w:rFonts w:ascii="Arial" w:hAnsi="Arial" w:cs="Arial"/>
          <w:b/>
          <w:bCs/>
          <w:noProof/>
          <w:sz w:val="20"/>
          <w:szCs w:val="24"/>
        </w:rPr>
        <w:t>26</w:t>
      </w:r>
      <w:r w:rsidRPr="00CC4449">
        <w:rPr>
          <w:rFonts w:ascii="Arial" w:hAnsi="Arial" w:cs="Arial"/>
          <w:noProof/>
          <w:sz w:val="20"/>
          <w:szCs w:val="24"/>
        </w:rPr>
        <w:t>, 479–501 (2019).</w:t>
      </w:r>
    </w:p>
    <w:p w14:paraId="5F554181"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15. </w:t>
      </w:r>
      <w:r w:rsidRPr="00CC4449">
        <w:rPr>
          <w:rFonts w:ascii="Arial" w:hAnsi="Arial" w:cs="Arial"/>
          <w:noProof/>
          <w:sz w:val="20"/>
          <w:szCs w:val="24"/>
        </w:rPr>
        <w:tab/>
        <w:t xml:space="preserve">R Core Team, R: A Language and Environment for Statistical Computing. </w:t>
      </w:r>
      <w:r w:rsidRPr="00CC4449">
        <w:rPr>
          <w:rFonts w:ascii="Arial" w:hAnsi="Arial" w:cs="Arial"/>
          <w:i/>
          <w:iCs/>
          <w:noProof/>
          <w:sz w:val="20"/>
          <w:szCs w:val="24"/>
        </w:rPr>
        <w:t>R Found. Stat. Comput. Vienna, Austria</w:t>
      </w:r>
      <w:r w:rsidRPr="00CC4449">
        <w:rPr>
          <w:rFonts w:ascii="Arial" w:hAnsi="Arial" w:cs="Arial"/>
          <w:noProof/>
          <w:sz w:val="20"/>
          <w:szCs w:val="24"/>
        </w:rPr>
        <w:t xml:space="preserve"> </w:t>
      </w:r>
      <w:r w:rsidRPr="00CC4449">
        <w:rPr>
          <w:rFonts w:ascii="Arial" w:hAnsi="Arial" w:cs="Arial"/>
          <w:b/>
          <w:bCs/>
          <w:noProof/>
          <w:sz w:val="20"/>
          <w:szCs w:val="24"/>
        </w:rPr>
        <w:t>0</w:t>
      </w:r>
      <w:r w:rsidRPr="00CC4449">
        <w:rPr>
          <w:rFonts w:ascii="Arial" w:hAnsi="Arial" w:cs="Arial"/>
          <w:noProof/>
          <w:sz w:val="20"/>
          <w:szCs w:val="24"/>
        </w:rPr>
        <w:t>, {ISBN} 3-900051-07-0 (2017).</w:t>
      </w:r>
    </w:p>
    <w:p w14:paraId="64BEE89F"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16. </w:t>
      </w:r>
      <w:r w:rsidRPr="00CC4449">
        <w:rPr>
          <w:rFonts w:ascii="Arial" w:hAnsi="Arial" w:cs="Arial"/>
          <w:noProof/>
          <w:sz w:val="20"/>
          <w:szCs w:val="24"/>
        </w:rPr>
        <w:tab/>
        <w:t xml:space="preserve">R. F. Denniston, K. H. Wyrwoll, Y. Asmerom, V. J. Polyak, W. F. Humphreys, J. Cugley, D. Woods, Z. LaPointe, J. Peota, E. Greaves, North Atlantic forcing of millennial-scale Indo-Australian monsoon dynamics during the Last Glacial period. </w:t>
      </w:r>
      <w:r w:rsidRPr="00CC4449">
        <w:rPr>
          <w:rFonts w:ascii="Arial" w:hAnsi="Arial" w:cs="Arial"/>
          <w:i/>
          <w:iCs/>
          <w:noProof/>
          <w:sz w:val="20"/>
          <w:szCs w:val="24"/>
        </w:rPr>
        <w:t>Quat. Sci. Rev.</w:t>
      </w:r>
      <w:r w:rsidRPr="00CC4449">
        <w:rPr>
          <w:rFonts w:ascii="Arial" w:hAnsi="Arial" w:cs="Arial"/>
          <w:noProof/>
          <w:sz w:val="20"/>
          <w:szCs w:val="24"/>
        </w:rPr>
        <w:t xml:space="preserve"> </w:t>
      </w:r>
      <w:r w:rsidRPr="00CC4449">
        <w:rPr>
          <w:rFonts w:ascii="Arial" w:hAnsi="Arial" w:cs="Arial"/>
          <w:b/>
          <w:bCs/>
          <w:noProof/>
          <w:sz w:val="20"/>
          <w:szCs w:val="24"/>
        </w:rPr>
        <w:t>72</w:t>
      </w:r>
      <w:r w:rsidRPr="00CC4449">
        <w:rPr>
          <w:rFonts w:ascii="Arial" w:hAnsi="Arial" w:cs="Arial"/>
          <w:noProof/>
          <w:sz w:val="20"/>
          <w:szCs w:val="24"/>
        </w:rPr>
        <w:t>, 159–168 (2013).</w:t>
      </w:r>
    </w:p>
    <w:p w14:paraId="0AEF1825"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17. </w:t>
      </w:r>
      <w:r w:rsidRPr="00CC4449">
        <w:rPr>
          <w:rFonts w:ascii="Arial" w:hAnsi="Arial" w:cs="Arial"/>
          <w:noProof/>
          <w:sz w:val="20"/>
          <w:szCs w:val="24"/>
        </w:rPr>
        <w:tab/>
        <w:t xml:space="preserve">R. F. Denniston, Y. Asmerom, M. Lachniet, V. J. Polyak, P. Hope, N. An, K. Rodzinyak, W. F. Humphreys, A Last Glacial Maximum through middle Holocene stalagmite record of coastal Western Australia climate. </w:t>
      </w:r>
      <w:r w:rsidRPr="00CC4449">
        <w:rPr>
          <w:rFonts w:ascii="Arial" w:hAnsi="Arial" w:cs="Arial"/>
          <w:i/>
          <w:iCs/>
          <w:noProof/>
          <w:sz w:val="20"/>
          <w:szCs w:val="24"/>
        </w:rPr>
        <w:t>Quat. Sci. Rev.</w:t>
      </w:r>
      <w:r w:rsidRPr="00CC4449">
        <w:rPr>
          <w:rFonts w:ascii="Arial" w:hAnsi="Arial" w:cs="Arial"/>
          <w:noProof/>
          <w:sz w:val="20"/>
          <w:szCs w:val="24"/>
        </w:rPr>
        <w:t xml:space="preserve"> </w:t>
      </w:r>
      <w:r w:rsidRPr="00CC4449">
        <w:rPr>
          <w:rFonts w:ascii="Arial" w:hAnsi="Arial" w:cs="Arial"/>
          <w:b/>
          <w:bCs/>
          <w:noProof/>
          <w:sz w:val="20"/>
          <w:szCs w:val="24"/>
        </w:rPr>
        <w:t>77</w:t>
      </w:r>
      <w:r w:rsidRPr="00CC4449">
        <w:rPr>
          <w:rFonts w:ascii="Arial" w:hAnsi="Arial" w:cs="Arial"/>
          <w:noProof/>
          <w:sz w:val="20"/>
          <w:szCs w:val="24"/>
        </w:rPr>
        <w:t>, 101–112 (2013).</w:t>
      </w:r>
    </w:p>
    <w:p w14:paraId="117E0B00"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18. </w:t>
      </w:r>
      <w:r w:rsidRPr="00CC4449">
        <w:rPr>
          <w:rFonts w:ascii="Arial" w:hAnsi="Arial" w:cs="Arial"/>
          <w:noProof/>
          <w:sz w:val="20"/>
          <w:szCs w:val="24"/>
        </w:rPr>
        <w:tab/>
        <w:t xml:space="preserve">R. F. Denniston, Y. Asmerom, V. J. Polyak, A. D. Wanamaker, C. C. Ummenhofer, W. F. Humphreys, J. Cugley, D. Woods, S. Lucker, Decoupling of monsoon activity across the northern and southern Indo-Pacific during the Late Glacial. </w:t>
      </w:r>
      <w:r w:rsidRPr="00CC4449">
        <w:rPr>
          <w:rFonts w:ascii="Arial" w:hAnsi="Arial" w:cs="Arial"/>
          <w:i/>
          <w:iCs/>
          <w:noProof/>
          <w:sz w:val="20"/>
          <w:szCs w:val="24"/>
        </w:rPr>
        <w:t>Quat. Sci. Rev.</w:t>
      </w:r>
      <w:r w:rsidRPr="00CC4449">
        <w:rPr>
          <w:rFonts w:ascii="Arial" w:hAnsi="Arial" w:cs="Arial"/>
          <w:noProof/>
          <w:sz w:val="20"/>
          <w:szCs w:val="24"/>
        </w:rPr>
        <w:t xml:space="preserve"> </w:t>
      </w:r>
      <w:r w:rsidRPr="00CC4449">
        <w:rPr>
          <w:rFonts w:ascii="Arial" w:hAnsi="Arial" w:cs="Arial"/>
          <w:b/>
          <w:bCs/>
          <w:noProof/>
          <w:sz w:val="20"/>
          <w:szCs w:val="24"/>
        </w:rPr>
        <w:t>176</w:t>
      </w:r>
      <w:r w:rsidRPr="00CC4449">
        <w:rPr>
          <w:rFonts w:ascii="Arial" w:hAnsi="Arial" w:cs="Arial"/>
          <w:noProof/>
          <w:sz w:val="20"/>
          <w:szCs w:val="24"/>
        </w:rPr>
        <w:t xml:space="preserve">, 101–105 </w:t>
      </w:r>
      <w:r w:rsidRPr="00CC4449">
        <w:rPr>
          <w:rFonts w:ascii="Arial" w:hAnsi="Arial" w:cs="Arial"/>
          <w:noProof/>
          <w:sz w:val="20"/>
          <w:szCs w:val="24"/>
        </w:rPr>
        <w:lastRenderedPageBreak/>
        <w:t>(2017).</w:t>
      </w:r>
    </w:p>
    <w:p w14:paraId="2B78C463"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19. </w:t>
      </w:r>
      <w:r w:rsidRPr="00CC4449">
        <w:rPr>
          <w:rFonts w:ascii="Arial" w:hAnsi="Arial" w:cs="Arial"/>
          <w:noProof/>
          <w:sz w:val="20"/>
          <w:szCs w:val="24"/>
        </w:rPr>
        <w:tab/>
        <w:t xml:space="preserve">P. C. Treble, A. Baker, L. K. Ayliffe, T. J. Cohen, J. C. Hellstrom, M. K. Gagan, S. Frisia, R. N. Drysdale, A. D. Griffiths, A. Borsato, Hydroclimate of the Last Glacial Maximum and deglaciation in southern Australia’s arid margin interpreted from speleothem records (23-15 ka). </w:t>
      </w:r>
      <w:r w:rsidRPr="00CC4449">
        <w:rPr>
          <w:rFonts w:ascii="Arial" w:hAnsi="Arial" w:cs="Arial"/>
          <w:i/>
          <w:iCs/>
          <w:noProof/>
          <w:sz w:val="20"/>
          <w:szCs w:val="24"/>
        </w:rPr>
        <w:t>Clim. Past</w:t>
      </w:r>
      <w:r w:rsidRPr="00CC4449">
        <w:rPr>
          <w:rFonts w:ascii="Arial" w:hAnsi="Arial" w:cs="Arial"/>
          <w:noProof/>
          <w:sz w:val="20"/>
          <w:szCs w:val="24"/>
        </w:rPr>
        <w:t xml:space="preserve"> </w:t>
      </w:r>
      <w:r w:rsidRPr="00CC4449">
        <w:rPr>
          <w:rFonts w:ascii="Arial" w:hAnsi="Arial" w:cs="Arial"/>
          <w:b/>
          <w:bCs/>
          <w:noProof/>
          <w:sz w:val="20"/>
          <w:szCs w:val="24"/>
        </w:rPr>
        <w:t>13</w:t>
      </w:r>
      <w:r w:rsidRPr="00CC4449">
        <w:rPr>
          <w:rFonts w:ascii="Arial" w:hAnsi="Arial" w:cs="Arial"/>
          <w:noProof/>
          <w:sz w:val="20"/>
          <w:szCs w:val="24"/>
        </w:rPr>
        <w:t>, 667–687 (2017).</w:t>
      </w:r>
    </w:p>
    <w:p w14:paraId="5312C515" w14:textId="77777777" w:rsidR="00CC4449" w:rsidRPr="00CC4449" w:rsidRDefault="00CC4449" w:rsidP="00CC4449">
      <w:pPr>
        <w:widowControl w:val="0"/>
        <w:autoSpaceDE w:val="0"/>
        <w:autoSpaceDN w:val="0"/>
        <w:adjustRightInd w:val="0"/>
        <w:ind w:left="640" w:hanging="640"/>
        <w:rPr>
          <w:rFonts w:ascii="Arial" w:hAnsi="Arial" w:cs="Arial"/>
          <w:noProof/>
          <w:sz w:val="20"/>
          <w:szCs w:val="24"/>
        </w:rPr>
      </w:pPr>
      <w:r w:rsidRPr="00CC4449">
        <w:rPr>
          <w:rFonts w:ascii="Arial" w:hAnsi="Arial" w:cs="Arial"/>
          <w:noProof/>
          <w:sz w:val="20"/>
          <w:szCs w:val="24"/>
        </w:rPr>
        <w:t xml:space="preserve">20. </w:t>
      </w:r>
      <w:r w:rsidRPr="00CC4449">
        <w:rPr>
          <w:rFonts w:ascii="Arial" w:hAnsi="Arial" w:cs="Arial"/>
          <w:noProof/>
          <w:sz w:val="20"/>
          <w:szCs w:val="24"/>
        </w:rPr>
        <w:tab/>
        <w:t xml:space="preserve">X. Du, J. M. Russell, Z. Liu, B. L. Otto-Bliesner, Y. Gao, C. Zhu, D. W. Oppo, M. Mohtadi, Y. Yan, V. V. Galy, </w:t>
      </w:r>
      <w:r w:rsidRPr="00CC4449">
        <w:rPr>
          <w:rFonts w:ascii="Arial" w:hAnsi="Arial" w:cs="Arial"/>
          <w:i/>
          <w:iCs/>
          <w:noProof/>
          <w:sz w:val="20"/>
          <w:szCs w:val="24"/>
        </w:rPr>
        <w:t>et al.</w:t>
      </w:r>
      <w:r w:rsidRPr="00CC4449">
        <w:rPr>
          <w:rFonts w:ascii="Arial" w:hAnsi="Arial" w:cs="Arial"/>
          <w:noProof/>
          <w:sz w:val="20"/>
          <w:szCs w:val="24"/>
        </w:rPr>
        <w:t xml:space="preserve">, Deglacial trends in Indo-Pacific warm pool hydroclimate in an isotope-enabled Earth system model and implications for isotope-based paleoclimate reconstructions. </w:t>
      </w:r>
      <w:r w:rsidRPr="00CC4449">
        <w:rPr>
          <w:rFonts w:ascii="Arial" w:hAnsi="Arial" w:cs="Arial"/>
          <w:i/>
          <w:iCs/>
          <w:noProof/>
          <w:sz w:val="20"/>
          <w:szCs w:val="24"/>
        </w:rPr>
        <w:t>Quat. Sci. Rev.</w:t>
      </w:r>
      <w:r w:rsidRPr="00CC4449">
        <w:rPr>
          <w:rFonts w:ascii="Arial" w:hAnsi="Arial" w:cs="Arial"/>
          <w:noProof/>
          <w:sz w:val="20"/>
          <w:szCs w:val="24"/>
        </w:rPr>
        <w:t xml:space="preserve"> </w:t>
      </w:r>
      <w:r w:rsidRPr="00CC4449">
        <w:rPr>
          <w:rFonts w:ascii="Arial" w:hAnsi="Arial" w:cs="Arial"/>
          <w:b/>
          <w:bCs/>
          <w:noProof/>
          <w:sz w:val="20"/>
          <w:szCs w:val="24"/>
        </w:rPr>
        <w:t>270</w:t>
      </w:r>
      <w:r w:rsidRPr="00CC4449">
        <w:rPr>
          <w:rFonts w:ascii="Arial" w:hAnsi="Arial" w:cs="Arial"/>
          <w:noProof/>
          <w:sz w:val="20"/>
          <w:szCs w:val="24"/>
        </w:rPr>
        <w:t>, 107188 (2021).</w:t>
      </w:r>
    </w:p>
    <w:p w14:paraId="121F9C89" w14:textId="77777777" w:rsidR="00CC4449" w:rsidRPr="00CC4449" w:rsidRDefault="00CC4449" w:rsidP="00CC4449">
      <w:pPr>
        <w:widowControl w:val="0"/>
        <w:autoSpaceDE w:val="0"/>
        <w:autoSpaceDN w:val="0"/>
        <w:adjustRightInd w:val="0"/>
        <w:ind w:left="640" w:hanging="640"/>
        <w:rPr>
          <w:rFonts w:ascii="Arial" w:hAnsi="Arial" w:cs="Arial"/>
          <w:noProof/>
          <w:sz w:val="20"/>
        </w:rPr>
      </w:pPr>
      <w:r w:rsidRPr="00CC4449">
        <w:rPr>
          <w:rFonts w:ascii="Arial" w:hAnsi="Arial" w:cs="Arial"/>
          <w:noProof/>
          <w:sz w:val="20"/>
          <w:szCs w:val="24"/>
        </w:rPr>
        <w:t xml:space="preserve">21. </w:t>
      </w:r>
      <w:r w:rsidRPr="00CC4449">
        <w:rPr>
          <w:rFonts w:ascii="Arial" w:hAnsi="Arial" w:cs="Arial"/>
          <w:noProof/>
          <w:sz w:val="20"/>
          <w:szCs w:val="24"/>
        </w:rPr>
        <w:tab/>
        <w:t xml:space="preserve">F. L. Buckingham, S. A. Carolin, J. W. Partin, J. F. Adkins, K. M. Cobb, C. C. Day, Q. Ding, C. He, Z. Liu, B. Otto-Bliesner, </w:t>
      </w:r>
      <w:r w:rsidRPr="00CC4449">
        <w:rPr>
          <w:rFonts w:ascii="Arial" w:hAnsi="Arial" w:cs="Arial"/>
          <w:i/>
          <w:iCs/>
          <w:noProof/>
          <w:sz w:val="20"/>
          <w:szCs w:val="24"/>
        </w:rPr>
        <w:t>et al.</w:t>
      </w:r>
      <w:r w:rsidRPr="00CC4449">
        <w:rPr>
          <w:rFonts w:ascii="Arial" w:hAnsi="Arial" w:cs="Arial"/>
          <w:noProof/>
          <w:sz w:val="20"/>
          <w:szCs w:val="24"/>
        </w:rPr>
        <w:t xml:space="preserve">, Termination 1 Millennial-Scale Rainfall Events Over the Sunda Shelf. </w:t>
      </w:r>
      <w:r w:rsidRPr="00CC4449">
        <w:rPr>
          <w:rFonts w:ascii="Arial" w:hAnsi="Arial" w:cs="Arial"/>
          <w:i/>
          <w:iCs/>
          <w:noProof/>
          <w:sz w:val="20"/>
          <w:szCs w:val="24"/>
        </w:rPr>
        <w:t>Geophys. Res. Lett.</w:t>
      </w:r>
      <w:r w:rsidRPr="00CC4449">
        <w:rPr>
          <w:rFonts w:ascii="Arial" w:hAnsi="Arial" w:cs="Arial"/>
          <w:noProof/>
          <w:sz w:val="20"/>
          <w:szCs w:val="24"/>
        </w:rPr>
        <w:t xml:space="preserve"> </w:t>
      </w:r>
      <w:r w:rsidRPr="00CC4449">
        <w:rPr>
          <w:rFonts w:ascii="Arial" w:hAnsi="Arial" w:cs="Arial"/>
          <w:b/>
          <w:bCs/>
          <w:noProof/>
          <w:sz w:val="20"/>
          <w:szCs w:val="24"/>
        </w:rPr>
        <w:t>49</w:t>
      </w:r>
      <w:r w:rsidRPr="00CC4449">
        <w:rPr>
          <w:rFonts w:ascii="Arial" w:hAnsi="Arial" w:cs="Arial"/>
          <w:noProof/>
          <w:sz w:val="20"/>
          <w:szCs w:val="24"/>
        </w:rPr>
        <w:t>, 1–10 (2022).</w:t>
      </w:r>
    </w:p>
    <w:p w14:paraId="10C22F57" w14:textId="33BE3059" w:rsidR="007843C9" w:rsidRPr="00DC623A" w:rsidRDefault="00CC4449" w:rsidP="00CC4449">
      <w:pPr>
        <w:pStyle w:val="SMcaption"/>
        <w:rPr>
          <w:rFonts w:ascii="Arial" w:hAnsi="Arial" w:cs="Arial"/>
          <w:sz w:val="20"/>
        </w:rPr>
      </w:pPr>
      <w:r>
        <w:rPr>
          <w:rFonts w:ascii="Arial" w:hAnsi="Arial" w:cs="Arial"/>
          <w:sz w:val="20"/>
        </w:rPr>
        <w:fldChar w:fldCharType="end"/>
      </w:r>
    </w:p>
    <w:sectPr w:rsidR="007843C9" w:rsidRPr="00DC623A" w:rsidSect="00F125EE">
      <w:headerReference w:type="default" r:id="rId32"/>
      <w:footerReference w:type="default" r:id="rId33"/>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E1B0D" w14:textId="77777777" w:rsidR="00663461" w:rsidRDefault="00663461">
      <w:r>
        <w:separator/>
      </w:r>
    </w:p>
  </w:endnote>
  <w:endnote w:type="continuationSeparator" w:id="0">
    <w:p w14:paraId="34DB0E30" w14:textId="77777777" w:rsidR="00663461" w:rsidRDefault="00663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193174C0" w:rsidR="00F125EE" w:rsidRDefault="00114193">
    <w:pPr>
      <w:pStyle w:val="Footer"/>
      <w:jc w:val="right"/>
    </w:pPr>
    <w:r>
      <w:fldChar w:fldCharType="begin"/>
    </w:r>
    <w:r>
      <w:instrText xml:space="preserve"> PAGE   \* MERGEFORMAT </w:instrText>
    </w:r>
    <w:r>
      <w:fldChar w:fldCharType="separate"/>
    </w:r>
    <w:r w:rsidR="009D6B1C">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B3852" w14:textId="77777777" w:rsidR="00663461" w:rsidRDefault="00663461">
      <w:r>
        <w:separator/>
      </w:r>
    </w:p>
  </w:footnote>
  <w:footnote w:type="continuationSeparator" w:id="0">
    <w:p w14:paraId="4EB1017E" w14:textId="77777777" w:rsidR="00663461" w:rsidRDefault="006634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4879737">
    <w:abstractNumId w:val="9"/>
  </w:num>
  <w:num w:numId="2" w16cid:durableId="1831096602">
    <w:abstractNumId w:val="7"/>
  </w:num>
  <w:num w:numId="3" w16cid:durableId="1495410094">
    <w:abstractNumId w:val="6"/>
  </w:num>
  <w:num w:numId="4" w16cid:durableId="283928128">
    <w:abstractNumId w:val="5"/>
  </w:num>
  <w:num w:numId="5" w16cid:durableId="1302688816">
    <w:abstractNumId w:val="4"/>
  </w:num>
  <w:num w:numId="6" w16cid:durableId="1565677471">
    <w:abstractNumId w:val="8"/>
  </w:num>
  <w:num w:numId="7" w16cid:durableId="1546604610">
    <w:abstractNumId w:val="3"/>
  </w:num>
  <w:num w:numId="8" w16cid:durableId="38865092">
    <w:abstractNumId w:val="2"/>
  </w:num>
  <w:num w:numId="9" w16cid:durableId="2128234274">
    <w:abstractNumId w:val="1"/>
  </w:num>
  <w:num w:numId="10" w16cid:durableId="853810110">
    <w:abstractNumId w:val="0"/>
  </w:num>
  <w:num w:numId="11" w16cid:durableId="1480540058">
    <w:abstractNumId w:val="10"/>
  </w:num>
  <w:num w:numId="12" w16cid:durableId="196813806">
    <w:abstractNumId w:val="12"/>
  </w:num>
  <w:num w:numId="13" w16cid:durableId="1528716059">
    <w:abstractNumId w:val="13"/>
  </w:num>
  <w:num w:numId="14" w16cid:durableId="4647836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33818"/>
    <w:rsid w:val="00065EBD"/>
    <w:rsid w:val="00083B44"/>
    <w:rsid w:val="000850DC"/>
    <w:rsid w:val="000A41E4"/>
    <w:rsid w:val="000C2771"/>
    <w:rsid w:val="000C5F36"/>
    <w:rsid w:val="000F0DCE"/>
    <w:rsid w:val="00112C5B"/>
    <w:rsid w:val="00114193"/>
    <w:rsid w:val="00115A38"/>
    <w:rsid w:val="0011687B"/>
    <w:rsid w:val="00124F82"/>
    <w:rsid w:val="0016337A"/>
    <w:rsid w:val="00164269"/>
    <w:rsid w:val="001A1BDE"/>
    <w:rsid w:val="001C0520"/>
    <w:rsid w:val="001C0975"/>
    <w:rsid w:val="001F0876"/>
    <w:rsid w:val="001F167C"/>
    <w:rsid w:val="001F5E91"/>
    <w:rsid w:val="002077B9"/>
    <w:rsid w:val="00262D72"/>
    <w:rsid w:val="00294FBB"/>
    <w:rsid w:val="002C030F"/>
    <w:rsid w:val="002C667A"/>
    <w:rsid w:val="00325D90"/>
    <w:rsid w:val="00331D75"/>
    <w:rsid w:val="00332BFB"/>
    <w:rsid w:val="00355362"/>
    <w:rsid w:val="00363E44"/>
    <w:rsid w:val="00387114"/>
    <w:rsid w:val="00395E86"/>
    <w:rsid w:val="00397983"/>
    <w:rsid w:val="003A2FD8"/>
    <w:rsid w:val="003B40E6"/>
    <w:rsid w:val="003F6E14"/>
    <w:rsid w:val="00405336"/>
    <w:rsid w:val="004571D5"/>
    <w:rsid w:val="00461D81"/>
    <w:rsid w:val="0046356B"/>
    <w:rsid w:val="00477182"/>
    <w:rsid w:val="004779CB"/>
    <w:rsid w:val="004A159F"/>
    <w:rsid w:val="004B2F21"/>
    <w:rsid w:val="004E42D8"/>
    <w:rsid w:val="004E7BA2"/>
    <w:rsid w:val="004F7EDF"/>
    <w:rsid w:val="005001AC"/>
    <w:rsid w:val="00507CE9"/>
    <w:rsid w:val="00527D71"/>
    <w:rsid w:val="005607DD"/>
    <w:rsid w:val="005609E9"/>
    <w:rsid w:val="00575043"/>
    <w:rsid w:val="005A558C"/>
    <w:rsid w:val="005C52D5"/>
    <w:rsid w:val="005D088E"/>
    <w:rsid w:val="005E28F8"/>
    <w:rsid w:val="005E6513"/>
    <w:rsid w:val="006069C6"/>
    <w:rsid w:val="00611A19"/>
    <w:rsid w:val="006140DF"/>
    <w:rsid w:val="00651114"/>
    <w:rsid w:val="0065772A"/>
    <w:rsid w:val="00663461"/>
    <w:rsid w:val="00670299"/>
    <w:rsid w:val="00690668"/>
    <w:rsid w:val="00691985"/>
    <w:rsid w:val="006A1B64"/>
    <w:rsid w:val="006D169A"/>
    <w:rsid w:val="006E3E68"/>
    <w:rsid w:val="007108F5"/>
    <w:rsid w:val="00713E5B"/>
    <w:rsid w:val="00730E47"/>
    <w:rsid w:val="007402FC"/>
    <w:rsid w:val="007411A1"/>
    <w:rsid w:val="00763345"/>
    <w:rsid w:val="007843C9"/>
    <w:rsid w:val="00797F24"/>
    <w:rsid w:val="007B5946"/>
    <w:rsid w:val="007F5297"/>
    <w:rsid w:val="00807D35"/>
    <w:rsid w:val="00820484"/>
    <w:rsid w:val="00824DF3"/>
    <w:rsid w:val="00840BB2"/>
    <w:rsid w:val="00885C9B"/>
    <w:rsid w:val="008C069B"/>
    <w:rsid w:val="008D5D2A"/>
    <w:rsid w:val="00914B63"/>
    <w:rsid w:val="009258B8"/>
    <w:rsid w:val="009354F3"/>
    <w:rsid w:val="00943C3C"/>
    <w:rsid w:val="009447DC"/>
    <w:rsid w:val="009519CF"/>
    <w:rsid w:val="00961BA5"/>
    <w:rsid w:val="009677C2"/>
    <w:rsid w:val="009743A9"/>
    <w:rsid w:val="009A5287"/>
    <w:rsid w:val="009A670E"/>
    <w:rsid w:val="009B2AC5"/>
    <w:rsid w:val="009B7984"/>
    <w:rsid w:val="009D6B1C"/>
    <w:rsid w:val="009F4BED"/>
    <w:rsid w:val="009F7D93"/>
    <w:rsid w:val="00A3403B"/>
    <w:rsid w:val="00A51A12"/>
    <w:rsid w:val="00A627D4"/>
    <w:rsid w:val="00A72B81"/>
    <w:rsid w:val="00A74CD5"/>
    <w:rsid w:val="00A74DA2"/>
    <w:rsid w:val="00AC15B4"/>
    <w:rsid w:val="00AD499C"/>
    <w:rsid w:val="00AE5A70"/>
    <w:rsid w:val="00B003EE"/>
    <w:rsid w:val="00B038F4"/>
    <w:rsid w:val="00B15008"/>
    <w:rsid w:val="00B16F99"/>
    <w:rsid w:val="00B36869"/>
    <w:rsid w:val="00B42F9C"/>
    <w:rsid w:val="00B43B31"/>
    <w:rsid w:val="00B47CFA"/>
    <w:rsid w:val="00B57F00"/>
    <w:rsid w:val="00B73A1C"/>
    <w:rsid w:val="00B77B2A"/>
    <w:rsid w:val="00B8261A"/>
    <w:rsid w:val="00B82C22"/>
    <w:rsid w:val="00B8723B"/>
    <w:rsid w:val="00B93DBA"/>
    <w:rsid w:val="00B9440A"/>
    <w:rsid w:val="00BB2D2A"/>
    <w:rsid w:val="00BD58CF"/>
    <w:rsid w:val="00C046DC"/>
    <w:rsid w:val="00C04CC1"/>
    <w:rsid w:val="00C364C5"/>
    <w:rsid w:val="00C47714"/>
    <w:rsid w:val="00C50C6D"/>
    <w:rsid w:val="00C600D9"/>
    <w:rsid w:val="00CC1384"/>
    <w:rsid w:val="00CC4449"/>
    <w:rsid w:val="00CD3720"/>
    <w:rsid w:val="00CF16C9"/>
    <w:rsid w:val="00CF1848"/>
    <w:rsid w:val="00CF5C2F"/>
    <w:rsid w:val="00D04BCF"/>
    <w:rsid w:val="00D143D9"/>
    <w:rsid w:val="00D269AB"/>
    <w:rsid w:val="00D346C2"/>
    <w:rsid w:val="00D66A63"/>
    <w:rsid w:val="00DA22DA"/>
    <w:rsid w:val="00DA59EA"/>
    <w:rsid w:val="00DB0B1D"/>
    <w:rsid w:val="00DC623A"/>
    <w:rsid w:val="00DD421A"/>
    <w:rsid w:val="00DE2D31"/>
    <w:rsid w:val="00DF5739"/>
    <w:rsid w:val="00E257C8"/>
    <w:rsid w:val="00E37047"/>
    <w:rsid w:val="00E60D0F"/>
    <w:rsid w:val="00E9773B"/>
    <w:rsid w:val="00EA596B"/>
    <w:rsid w:val="00EC13A3"/>
    <w:rsid w:val="00EC7C85"/>
    <w:rsid w:val="00F04CD9"/>
    <w:rsid w:val="00F125EE"/>
    <w:rsid w:val="00F12E98"/>
    <w:rsid w:val="00F22029"/>
    <w:rsid w:val="00F25DEF"/>
    <w:rsid w:val="00F36E8E"/>
    <w:rsid w:val="00F514EC"/>
    <w:rsid w:val="00F60CD4"/>
    <w:rsid w:val="00F630EA"/>
    <w:rsid w:val="00F7007E"/>
    <w:rsid w:val="00F70200"/>
    <w:rsid w:val="00F73193"/>
    <w:rsid w:val="00F74F95"/>
    <w:rsid w:val="00F80705"/>
    <w:rsid w:val="00FA1481"/>
    <w:rsid w:val="00FD083D"/>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uiPriority w:val="11"/>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uiPriority w:val="11"/>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character" w:styleId="UnresolvedMention">
    <w:name w:val="Unresolved Mention"/>
    <w:basedOn w:val="DefaultParagraphFont"/>
    <w:uiPriority w:val="99"/>
    <w:semiHidden/>
    <w:unhideWhenUsed/>
    <w:rsid w:val="00730E47"/>
    <w:rPr>
      <w:color w:val="605E5C"/>
      <w:shd w:val="clear" w:color="auto" w:fill="E1DFDD"/>
    </w:rPr>
  </w:style>
  <w:style w:type="paragraph" w:customStyle="1" w:styleId="Paperheadings">
    <w:name w:val="Paper headings"/>
    <w:basedOn w:val="Heading2"/>
    <w:link w:val="PaperheadingsChar"/>
    <w:qFormat/>
    <w:rsid w:val="00730E47"/>
    <w:pPr>
      <w:keepNext w:val="0"/>
      <w:tabs>
        <w:tab w:val="left" w:pos="1134"/>
        <w:tab w:val="left" w:pos="1418"/>
      </w:tabs>
      <w:spacing w:before="120" w:after="240"/>
      <w:contextualSpacing/>
    </w:pPr>
    <w:rPr>
      <w:rFonts w:ascii="Calibri" w:eastAsiaTheme="minorHAnsi" w:hAnsi="Calibri" w:cs="Arial"/>
      <w:bCs w:val="0"/>
      <w:i w:val="0"/>
      <w:iCs w:val="0"/>
      <w:kern w:val="20"/>
      <w:sz w:val="24"/>
      <w:szCs w:val="22"/>
    </w:rPr>
  </w:style>
  <w:style w:type="character" w:customStyle="1" w:styleId="PaperheadingsChar">
    <w:name w:val="Paper headings Char"/>
    <w:basedOn w:val="Heading2Char"/>
    <w:link w:val="Paperheadings"/>
    <w:rsid w:val="00730E47"/>
    <w:rPr>
      <w:rFonts w:ascii="Calibri" w:eastAsiaTheme="minorHAnsi" w:hAnsi="Calibri" w:cs="Arial"/>
      <w:b/>
      <w:bCs w:val="0"/>
      <w:i w:val="0"/>
      <w:iCs w:val="0"/>
      <w:kern w:val="20"/>
      <w:sz w:val="24"/>
      <w:szCs w:val="22"/>
    </w:rPr>
  </w:style>
  <w:style w:type="paragraph" w:customStyle="1" w:styleId="Papertext">
    <w:name w:val="Paper text"/>
    <w:basedOn w:val="Normal"/>
    <w:qFormat/>
    <w:rsid w:val="00730E47"/>
    <w:pPr>
      <w:spacing w:after="360" w:line="312" w:lineRule="auto"/>
    </w:pPr>
    <w:rPr>
      <w:rFonts w:asciiTheme="minorHAnsi" w:eastAsiaTheme="minorHAnsi" w:hAnsiTheme="minorHAnsi" w:cstheme="minorBidi"/>
      <w:sz w:val="22"/>
      <w:szCs w:val="22"/>
      <w:lang w:val="en-AU"/>
    </w:rPr>
  </w:style>
  <w:style w:type="character" w:styleId="SubtleEmphasis">
    <w:name w:val="Subtle Emphasis"/>
    <w:basedOn w:val="PaperheadingsChar"/>
    <w:uiPriority w:val="19"/>
    <w:qFormat/>
    <w:rsid w:val="00730E47"/>
    <w:rPr>
      <w:rFonts w:ascii="Calibri" w:eastAsiaTheme="minorHAnsi" w:hAnsi="Calibri" w:cs="Arial"/>
      <w:b w:val="0"/>
      <w:bCs w:val="0"/>
      <w:i/>
      <w:iCs/>
      <w:color w:val="404040" w:themeColor="text1" w:themeTint="BF"/>
      <w:kern w:val="20"/>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octopusdata.org/"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octopusdata.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mailto:haidee@uo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0068E-FBFC-4AD4-B24B-EC375A059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29</Pages>
  <Words>18803</Words>
  <Characters>107181</Characters>
  <Application>Microsoft Office Word</Application>
  <DocSecurity>0</DocSecurity>
  <Lines>893</Lines>
  <Paragraphs>251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125733</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Haidee Cadd</cp:lastModifiedBy>
  <cp:revision>5</cp:revision>
  <cp:lastPrinted>2018-02-26T17:19:00Z</cp:lastPrinted>
  <dcterms:created xsi:type="dcterms:W3CDTF">2023-05-22T01:57:00Z</dcterms:created>
  <dcterms:modified xsi:type="dcterms:W3CDTF">2023-05-22T05:47:00Z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http://www.zotero.org/styles/pnas</vt:lpwstr>
  </property>
  <property fmtid="{D5CDD505-2E9C-101B-9397-08002B2CF9AE}" pid="13" name="Mendeley Recent Style Name 5_1">
    <vt:lpwstr>Proceedings of the National Academy of Sciences of the United States of America</vt:lpwstr>
  </property>
  <property fmtid="{D5CDD505-2E9C-101B-9397-08002B2CF9AE}" pid="14" name="Mendeley Recent Style Id 6_1">
    <vt:lpwstr>https://csl.mendeley.com/styles/648499021/pnas-2</vt:lpwstr>
  </property>
  <property fmtid="{D5CDD505-2E9C-101B-9397-08002B2CF9AE}" pid="15" name="Mendeley Recent Style Name 6_1">
    <vt:lpwstr>Proceedings of the National Academy of Sciences of the United States of America - Haidee Cadd</vt:lpwstr>
  </property>
  <property fmtid="{D5CDD505-2E9C-101B-9397-08002B2CF9AE}" pid="16" name="Mendeley Recent Style Id 7_1">
    <vt:lpwstr>http://csl.mendeley.com/styles/648499021/pnas-3</vt:lpwstr>
  </property>
  <property fmtid="{D5CDD505-2E9C-101B-9397-08002B2CF9AE}" pid="17" name="Mendeley Recent Style Name 7_1">
    <vt:lpwstr>Proceedings of the National Academy of Sciences of the United States of America - Haidee Cadd</vt:lpwstr>
  </property>
  <property fmtid="{D5CDD505-2E9C-101B-9397-08002B2CF9AE}" pid="18" name="Mendeley Recent Style Id 8_1">
    <vt:lpwstr>http://csl.mendeley.com/styles/648499021/pnas-2</vt:lpwstr>
  </property>
  <property fmtid="{D5CDD505-2E9C-101B-9397-08002B2CF9AE}" pid="19" name="Mendeley Recent Style Name 8_1">
    <vt:lpwstr>Proceedings of the National Academy of Sciences of the United States of America - Haidee Cadd</vt:lpwstr>
  </property>
  <property fmtid="{D5CDD505-2E9C-101B-9397-08002B2CF9AE}" pid="20" name="Mendeley Recent Style Id 9_1">
    <vt:lpwstr>http://www.zotero.org/styles/quaternary-science-reviews</vt:lpwstr>
  </property>
  <property fmtid="{D5CDD505-2E9C-101B-9397-08002B2CF9AE}" pid="21" name="Mendeley Recent Style Name 9_1">
    <vt:lpwstr>Quaternary Science Reviews</vt:lpwstr>
  </property>
  <property fmtid="{D5CDD505-2E9C-101B-9397-08002B2CF9AE}" pid="22" name="Mendeley Document_1">
    <vt:lpwstr>True</vt:lpwstr>
  </property>
  <property fmtid="{D5CDD505-2E9C-101B-9397-08002B2CF9AE}" pid="23" name="Mendeley Unique User Id_1">
    <vt:lpwstr>df31501c-49e3-3108-bb96-59f95469b72e</vt:lpwstr>
  </property>
  <property fmtid="{D5CDD505-2E9C-101B-9397-08002B2CF9AE}" pid="24" name="Mendeley Citation Style_1">
    <vt:lpwstr>http://csl.mendeley.com/styles/648499021/pnas-3</vt:lpwstr>
  </property>
</Properties>
</file>