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74CED" w14:textId="77777777" w:rsidR="008B453B" w:rsidRPr="00F111B6" w:rsidRDefault="008B453B" w:rsidP="008B453B">
      <w:pPr>
        <w:pStyle w:val="Heading1"/>
        <w:jc w:val="both"/>
      </w:pPr>
      <w:r w:rsidRPr="00F111B6">
        <w:t>SUPPLEMENTARY TABLES</w:t>
      </w:r>
    </w:p>
    <w:p w14:paraId="276F1164" w14:textId="77777777" w:rsidR="008B453B" w:rsidRPr="00F111B6" w:rsidRDefault="008B453B" w:rsidP="008B453B">
      <w:pPr>
        <w:pStyle w:val="Heading2"/>
        <w:jc w:val="both"/>
      </w:pPr>
      <w:r w:rsidRPr="00F111B6">
        <w:t>Supplementary Table 1: Whole genome pooled library</w:t>
      </w:r>
    </w:p>
    <w:p w14:paraId="6AFAF561" w14:textId="77777777" w:rsidR="008B453B" w:rsidRPr="00F111B6" w:rsidRDefault="008B453B" w:rsidP="008B453B">
      <w:pPr>
        <w:pStyle w:val="Heading2"/>
        <w:jc w:val="both"/>
      </w:pPr>
      <w:r w:rsidRPr="00F111B6">
        <w:rPr>
          <w:b w:val="0"/>
        </w:rPr>
        <w:t>A table showing the sequence and relevant information for all gRNAs used in the whole genome pooled screen. (</w:t>
      </w:r>
      <w:r w:rsidRPr="00F111B6">
        <w:t>a</w:t>
      </w:r>
      <w:r w:rsidRPr="00F111B6">
        <w:rPr>
          <w:b w:val="0"/>
        </w:rPr>
        <w:t>) Chromosome number of the giRNA targets, (</w:t>
      </w:r>
      <w:r w:rsidRPr="00F111B6">
        <w:t>b</w:t>
      </w:r>
      <w:r w:rsidRPr="00F111B6">
        <w:rPr>
          <w:b w:val="0"/>
        </w:rPr>
        <w:t>) gRNA start position in the genome, (</w:t>
      </w:r>
      <w:r w:rsidRPr="00F111B6">
        <w:t>c</w:t>
      </w:r>
      <w:r w:rsidRPr="00F111B6">
        <w:rPr>
          <w:b w:val="0"/>
        </w:rPr>
        <w:t>) gRNA end position in the genome, (</w:t>
      </w:r>
      <w:r w:rsidRPr="00F111B6">
        <w:t>d</w:t>
      </w:r>
      <w:r w:rsidRPr="00F111B6">
        <w:rPr>
          <w:b w:val="0"/>
        </w:rPr>
        <w:t>) DNA strand gRNA targeting, (</w:t>
      </w:r>
      <w:r w:rsidRPr="00F111B6">
        <w:t>e</w:t>
      </w:r>
      <w:r w:rsidRPr="00F111B6">
        <w:rPr>
          <w:b w:val="0"/>
        </w:rPr>
        <w:t>) gRNA DNA sequence forwards strand, (</w:t>
      </w:r>
      <w:r w:rsidRPr="00F111B6">
        <w:t>f</w:t>
      </w:r>
      <w:r w:rsidRPr="00F111B6">
        <w:rPr>
          <w:b w:val="0"/>
        </w:rPr>
        <w:t>) PAM sequence, (</w:t>
      </w:r>
      <w:r w:rsidRPr="00F111B6">
        <w:t>g</w:t>
      </w:r>
      <w:r w:rsidRPr="00F111B6">
        <w:rPr>
          <w:b w:val="0"/>
        </w:rPr>
        <w:t>) gRNA DNA sequence on reverse strand, (</w:t>
      </w:r>
      <w:r w:rsidRPr="00F111B6">
        <w:t>h</w:t>
      </w:r>
      <w:r w:rsidRPr="00F111B6">
        <w:rPr>
          <w:b w:val="0"/>
        </w:rPr>
        <w:t>) gene name/identifier, and (i) exon identifier.</w:t>
      </w:r>
    </w:p>
    <w:p w14:paraId="38A47217" w14:textId="77777777" w:rsidR="008B453B" w:rsidRPr="00F111B6" w:rsidRDefault="008B453B" w:rsidP="008B453B">
      <w:pPr>
        <w:jc w:val="both"/>
      </w:pPr>
    </w:p>
    <w:p w14:paraId="17B9ACE8" w14:textId="77777777" w:rsidR="008B453B" w:rsidRPr="00F111B6" w:rsidRDefault="008B453B" w:rsidP="008B453B">
      <w:pPr>
        <w:pStyle w:val="Heading2"/>
        <w:jc w:val="both"/>
        <w:rPr>
          <w:b w:val="0"/>
        </w:rPr>
      </w:pPr>
      <w:bookmarkStart w:id="0" w:name="_heading=h.dr6tnsj6nikg" w:colFirst="0" w:colLast="0"/>
      <w:bookmarkEnd w:id="0"/>
      <w:r w:rsidRPr="00F111B6">
        <w:t>Supplementary Table 2: Analysis of whole-genome pooled CRISPR/Cas9 screen</w:t>
      </w:r>
      <w:r w:rsidRPr="00F111B6">
        <w:br/>
      </w:r>
      <w:r w:rsidRPr="00F111B6">
        <w:rPr>
          <w:b w:val="0"/>
        </w:rPr>
        <w:t>A table showing the results of the whole-genome pooled screen displayed by genes (sheet 1) or gRNAs (sheet 2). (</w:t>
      </w:r>
      <w:r w:rsidRPr="00F111B6">
        <w:t>a</w:t>
      </w:r>
      <w:r w:rsidRPr="00F111B6">
        <w:rPr>
          <w:b w:val="0"/>
        </w:rPr>
        <w:t>) gRNA identifier (</w:t>
      </w:r>
      <w:r w:rsidRPr="00F111B6">
        <w:t>b</w:t>
      </w:r>
      <w:r w:rsidRPr="00F111B6">
        <w:rPr>
          <w:b w:val="0"/>
        </w:rPr>
        <w:t xml:space="preserve">) gene name (c) total number of gRNAs per gene (5 gRNAs per gene per replica (5x6 = 30) (d) score for gRNAs enriched in the population which had a </w:t>
      </w:r>
      <w:r w:rsidRPr="00F111B6">
        <w:t>decrease</w:t>
      </w:r>
      <w:r w:rsidRPr="00F111B6">
        <w:rPr>
          <w:b w:val="0"/>
        </w:rPr>
        <w:t xml:space="preserve"> in MedFI (e) p value for gRNAs enriched in the population which had a </w:t>
      </w:r>
      <w:r w:rsidRPr="00F111B6">
        <w:t>decrease</w:t>
      </w:r>
      <w:r w:rsidRPr="00F111B6">
        <w:rPr>
          <w:b w:val="0"/>
        </w:rPr>
        <w:t xml:space="preserve"> in MedFI (f) false discovery rate for gRNAs enriched in the population which had a </w:t>
      </w:r>
      <w:r w:rsidRPr="00F111B6">
        <w:t>decrease</w:t>
      </w:r>
      <w:r w:rsidRPr="00F111B6">
        <w:rPr>
          <w:b w:val="0"/>
        </w:rPr>
        <w:t xml:space="preserve"> in MedFI (g) rank for gRNAs enriched in the population which had a </w:t>
      </w:r>
      <w:r w:rsidRPr="00F111B6">
        <w:t>decrease</w:t>
      </w:r>
      <w:r w:rsidRPr="00F111B6">
        <w:rPr>
          <w:b w:val="0"/>
        </w:rPr>
        <w:t xml:space="preserve"> in MedFI (h) number of different gRNA;s that were found to be enriched in population which had a </w:t>
      </w:r>
      <w:r w:rsidRPr="00F111B6">
        <w:t>decrease</w:t>
      </w:r>
      <w:r w:rsidRPr="00F111B6">
        <w:rPr>
          <w:b w:val="0"/>
        </w:rPr>
        <w:t xml:space="preserve"> in MedFI (i) Log fold change of gRNAs enriched in the population which had an in</w:t>
      </w:r>
      <w:r w:rsidRPr="00F111B6">
        <w:t>crease</w:t>
      </w:r>
      <w:r w:rsidRPr="00F111B6">
        <w:rPr>
          <w:b w:val="0"/>
        </w:rPr>
        <w:t xml:space="preserve"> in MedFI (j) score for gRNAs enriched in the population which had an in</w:t>
      </w:r>
      <w:r w:rsidRPr="00F111B6">
        <w:t>crease</w:t>
      </w:r>
      <w:r w:rsidRPr="00F111B6">
        <w:rPr>
          <w:b w:val="0"/>
        </w:rPr>
        <w:t xml:space="preserve"> in MedFI (k) p value for gRNAs enriched in the population which had an in</w:t>
      </w:r>
      <w:r w:rsidRPr="00F111B6">
        <w:t>crease in</w:t>
      </w:r>
      <w:r w:rsidRPr="00F111B6">
        <w:rPr>
          <w:b w:val="0"/>
        </w:rPr>
        <w:t xml:space="preserve"> MedFI (l) false discovery rate for gRNAs enriched in the population which had an in</w:t>
      </w:r>
      <w:r w:rsidRPr="00F111B6">
        <w:t>crease</w:t>
      </w:r>
      <w:r w:rsidRPr="00F111B6">
        <w:rPr>
          <w:b w:val="0"/>
        </w:rPr>
        <w:t xml:space="preserve"> in MedFI (m) rank for gRNAs enriched in the population which had an in</w:t>
      </w:r>
      <w:r w:rsidRPr="00F111B6">
        <w:t>crease</w:t>
      </w:r>
      <w:r w:rsidRPr="00F111B6">
        <w:rPr>
          <w:b w:val="0"/>
        </w:rPr>
        <w:t xml:space="preserve"> in MedFI (n) number of different gRNA;s that were found to be enriched in population which had an in</w:t>
      </w:r>
      <w:r w:rsidRPr="00F111B6">
        <w:t>crease</w:t>
      </w:r>
      <w:r w:rsidRPr="00F111B6">
        <w:rPr>
          <w:b w:val="0"/>
        </w:rPr>
        <w:t xml:space="preserve"> in MedFI (o) Log fold change of gRNAs enriched in the population which had an in</w:t>
      </w:r>
      <w:r w:rsidRPr="00F111B6">
        <w:t>crease</w:t>
      </w:r>
      <w:r w:rsidRPr="00F111B6">
        <w:rPr>
          <w:b w:val="0"/>
        </w:rPr>
        <w:t xml:space="preserve"> in MedFI</w:t>
      </w:r>
    </w:p>
    <w:p w14:paraId="492AFDDF" w14:textId="77777777" w:rsidR="008B453B" w:rsidRPr="00F111B6" w:rsidRDefault="008B453B" w:rsidP="008B453B">
      <w:pPr>
        <w:pStyle w:val="Heading2"/>
        <w:jc w:val="both"/>
        <w:rPr>
          <w:b w:val="0"/>
        </w:rPr>
      </w:pPr>
      <w:bookmarkStart w:id="1" w:name="_heading=h.lyp76wm5fr0y" w:colFirst="0" w:colLast="0"/>
      <w:bookmarkEnd w:id="1"/>
    </w:p>
    <w:p w14:paraId="115A39B1" w14:textId="77777777" w:rsidR="008B453B" w:rsidRPr="00F111B6" w:rsidRDefault="008B453B" w:rsidP="008B453B">
      <w:pPr>
        <w:pStyle w:val="Heading2"/>
        <w:jc w:val="both"/>
      </w:pPr>
      <w:bookmarkStart w:id="2" w:name="_heading=h.jdiq8bs9zlyy" w:colFirst="0" w:colLast="0"/>
      <w:bookmarkEnd w:id="2"/>
      <w:r w:rsidRPr="00F111B6">
        <w:rPr>
          <w:b w:val="0"/>
        </w:rPr>
        <w:t>S</w:t>
      </w:r>
      <w:r w:rsidRPr="00F111B6">
        <w:t>upplementary Table 3: The Arrayed gRNA Library</w:t>
      </w:r>
    </w:p>
    <w:p w14:paraId="4D64016F" w14:textId="77777777" w:rsidR="008B453B" w:rsidRPr="00F111B6" w:rsidRDefault="008B453B" w:rsidP="008B453B">
      <w:pPr>
        <w:pBdr>
          <w:top w:val="nil"/>
          <w:left w:val="nil"/>
          <w:bottom w:val="nil"/>
          <w:right w:val="nil"/>
          <w:between w:val="nil"/>
        </w:pBdr>
        <w:jc w:val="both"/>
      </w:pPr>
      <w:r w:rsidRPr="00F111B6">
        <w:t>This table shows the DNA sequences for the arrayed library used in this study. (a) Gene name, (b) gRNA identifier in WG library, (c) forwards DNA sequence of gRNA including complementary overhangs (lowercase) for BFP puro backbone cut with BBS1, and (d) reverse DNA sequence of gRNA including complementary overhangs (lowercase) for BFP puro backbone cut with BBS1.</w:t>
      </w:r>
    </w:p>
    <w:p w14:paraId="1097D9C4" w14:textId="77777777" w:rsidR="008B453B" w:rsidRPr="00F111B6" w:rsidRDefault="008B453B" w:rsidP="008B453B">
      <w:pPr>
        <w:pBdr>
          <w:top w:val="nil"/>
          <w:left w:val="nil"/>
          <w:bottom w:val="nil"/>
          <w:right w:val="nil"/>
          <w:between w:val="nil"/>
        </w:pBdr>
        <w:jc w:val="both"/>
      </w:pPr>
    </w:p>
    <w:p w14:paraId="2C89F0E6" w14:textId="77777777" w:rsidR="008B453B" w:rsidRPr="00F111B6" w:rsidRDefault="008B453B" w:rsidP="008B453B">
      <w:pPr>
        <w:pStyle w:val="Heading2"/>
        <w:jc w:val="both"/>
      </w:pPr>
      <w:bookmarkStart w:id="3" w:name="_heading=h.710tlj2kgy4b" w:colFirst="0" w:colLast="0"/>
      <w:bookmarkEnd w:id="3"/>
      <w:r w:rsidRPr="00F111B6">
        <w:t>Supplementary Table 4: IP-Mass Spectrometry results investigating interactors of GET4 or BAG6.</w:t>
      </w:r>
    </w:p>
    <w:p w14:paraId="42EB5FFA" w14:textId="77777777" w:rsidR="008B453B" w:rsidRPr="00F111B6" w:rsidRDefault="008B453B" w:rsidP="008B453B">
      <w:pPr>
        <w:pBdr>
          <w:top w:val="nil"/>
          <w:left w:val="nil"/>
          <w:bottom w:val="nil"/>
          <w:right w:val="nil"/>
          <w:between w:val="nil"/>
        </w:pBdr>
        <w:jc w:val="both"/>
        <w:rPr>
          <w:b/>
        </w:rPr>
      </w:pPr>
    </w:p>
    <w:p w14:paraId="5ACDCB0B" w14:textId="77777777" w:rsidR="008B453B" w:rsidRPr="00F111B6" w:rsidRDefault="008B453B" w:rsidP="008B453B">
      <w:pPr>
        <w:pStyle w:val="Heading2"/>
        <w:jc w:val="both"/>
      </w:pPr>
      <w:bookmarkStart w:id="4" w:name="_heading=h.7k2vmermnjyd" w:colFirst="0" w:colLast="0"/>
      <w:bookmarkEnd w:id="4"/>
      <w:r w:rsidRPr="00F111B6">
        <w:t>Supplementary Table 5: Interactors of GET4</w:t>
      </w:r>
    </w:p>
    <w:p w14:paraId="23F33AF1" w14:textId="77777777" w:rsidR="008B453B" w:rsidRPr="00F111B6" w:rsidRDefault="008B453B" w:rsidP="008B453B">
      <w:pPr>
        <w:pBdr>
          <w:top w:val="nil"/>
          <w:left w:val="nil"/>
          <w:bottom w:val="nil"/>
          <w:right w:val="nil"/>
          <w:between w:val="nil"/>
        </w:pBdr>
        <w:jc w:val="both"/>
      </w:pPr>
      <w:r w:rsidRPr="00F111B6">
        <w:t>Table of gene names (a) with p values (b) and the difference in fold change compared to control. Those that overlap with MERCS proteins are stated in Column (d) and highlighted in bold. Those proteins that overlap with BAG6 interactors are stated in Column (e) and underlined.</w:t>
      </w:r>
    </w:p>
    <w:p w14:paraId="4528F024" w14:textId="77777777" w:rsidR="008B453B" w:rsidRPr="00F111B6" w:rsidRDefault="008B453B" w:rsidP="008B453B">
      <w:pPr>
        <w:pBdr>
          <w:top w:val="nil"/>
          <w:left w:val="nil"/>
          <w:bottom w:val="nil"/>
          <w:right w:val="nil"/>
          <w:between w:val="nil"/>
        </w:pBdr>
        <w:jc w:val="both"/>
      </w:pPr>
    </w:p>
    <w:p w14:paraId="4E915E95" w14:textId="77777777" w:rsidR="008B453B" w:rsidRPr="00F111B6" w:rsidRDefault="008B453B" w:rsidP="008B453B">
      <w:pPr>
        <w:pStyle w:val="Heading2"/>
        <w:jc w:val="both"/>
      </w:pPr>
      <w:bookmarkStart w:id="5" w:name="_heading=h.q1gszcg75vt5" w:colFirst="0" w:colLast="0"/>
      <w:bookmarkEnd w:id="5"/>
      <w:r w:rsidRPr="00F111B6">
        <w:t>Supplementary Table 6: Interactors of BAG6</w:t>
      </w:r>
    </w:p>
    <w:p w14:paraId="39E65B3D" w14:textId="77777777" w:rsidR="008B453B" w:rsidRPr="00F111B6" w:rsidRDefault="008B453B" w:rsidP="008B453B">
      <w:pPr>
        <w:jc w:val="both"/>
      </w:pPr>
      <w:r w:rsidRPr="00F111B6">
        <w:t>Table of gene names (a) and the difference in fold change compared to control (b). Those that overlap with MERCS proteins are stated in Column (c) and highlighted in bold. Those proteins that overlap with GET4 interactors are stated in Column (d) and underlined.</w:t>
      </w:r>
    </w:p>
    <w:p w14:paraId="5546F638" w14:textId="77777777" w:rsidR="008B453B" w:rsidRPr="00F111B6" w:rsidRDefault="008B453B" w:rsidP="008B453B">
      <w:pPr>
        <w:jc w:val="both"/>
      </w:pPr>
    </w:p>
    <w:p w14:paraId="1E60B1FD" w14:textId="77777777" w:rsidR="008B453B" w:rsidRPr="00F111B6" w:rsidRDefault="008B453B" w:rsidP="008B453B">
      <w:pPr>
        <w:pStyle w:val="Heading2"/>
        <w:jc w:val="both"/>
      </w:pPr>
      <w:bookmarkStart w:id="6" w:name="_heading=h.7erbjqj7fk1l" w:colFirst="0" w:colLast="0"/>
      <w:bookmarkStart w:id="7" w:name="_heading=h.xl7zrfrkm0jb" w:colFirst="0" w:colLast="0"/>
      <w:bookmarkEnd w:id="6"/>
      <w:bookmarkEnd w:id="7"/>
      <w:r w:rsidRPr="00F111B6">
        <w:t>Supplementary Table 7: siRNAs used</w:t>
      </w:r>
    </w:p>
    <w:p w14:paraId="7E99031C" w14:textId="77777777" w:rsidR="008B453B" w:rsidRPr="00F111B6" w:rsidRDefault="008B453B" w:rsidP="008B453B">
      <w:pPr>
        <w:pStyle w:val="Heading2"/>
        <w:jc w:val="both"/>
      </w:pPr>
    </w:p>
    <w:p w14:paraId="4F193EF5" w14:textId="77777777" w:rsidR="008B453B" w:rsidRDefault="008B453B" w:rsidP="008B453B">
      <w:pPr>
        <w:pStyle w:val="Heading2"/>
        <w:jc w:val="both"/>
      </w:pPr>
      <w:r w:rsidRPr="00F111B6">
        <w:t>Supplementary Table 8: Antibodies used</w:t>
      </w:r>
    </w:p>
    <w:p w14:paraId="16912B87" w14:textId="77777777" w:rsidR="008B453B" w:rsidRDefault="008B453B" w:rsidP="008B453B">
      <w:pPr>
        <w:pBdr>
          <w:top w:val="nil"/>
          <w:left w:val="nil"/>
          <w:bottom w:val="nil"/>
          <w:right w:val="nil"/>
          <w:between w:val="nil"/>
        </w:pBdr>
        <w:jc w:val="both"/>
      </w:pPr>
    </w:p>
    <w:p w14:paraId="5A3F8A72" w14:textId="77777777" w:rsidR="008B453B" w:rsidRDefault="008B453B" w:rsidP="008B453B">
      <w:pPr>
        <w:pBdr>
          <w:top w:val="nil"/>
          <w:left w:val="nil"/>
          <w:bottom w:val="nil"/>
          <w:right w:val="nil"/>
          <w:between w:val="nil"/>
        </w:pBdr>
        <w:jc w:val="both"/>
      </w:pPr>
    </w:p>
    <w:p w14:paraId="52AF1E4A" w14:textId="77777777" w:rsidR="008B453B" w:rsidRDefault="008B453B" w:rsidP="008B453B">
      <w:pPr>
        <w:pBdr>
          <w:top w:val="nil"/>
          <w:left w:val="nil"/>
          <w:bottom w:val="nil"/>
          <w:right w:val="nil"/>
          <w:between w:val="nil"/>
        </w:pBdr>
        <w:jc w:val="both"/>
      </w:pPr>
    </w:p>
    <w:p w14:paraId="1AA54F38" w14:textId="77777777" w:rsidR="00755780" w:rsidRDefault="00755780"/>
    <w:sectPr w:rsidR="00755780">
      <w:headerReference w:type="default" r:id="rId4"/>
      <w:footerReference w:type="even" r:id="rId5"/>
      <w:footerReference w:type="default" r:id="rId6"/>
      <w:footerReference w:type="first" r:id="rId7"/>
      <w:pgSz w:w="11900" w:h="16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0EBE06" w14:textId="77777777" w:rsidR="00733A0B" w:rsidRDefault="008B453B">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519CE0C4" w14:textId="77777777" w:rsidR="00783712" w:rsidRPr="00330D37" w:rsidRDefault="008B453B">
    <w:pPr>
      <w:pBdr>
        <w:top w:val="nil"/>
        <w:left w:val="nil"/>
        <w:bottom w:val="nil"/>
        <w:right w:val="nil"/>
        <w:between w:val="nil"/>
      </w:pBdr>
      <w:tabs>
        <w:tab w:val="center" w:pos="4680"/>
        <w:tab w:val="right" w:pos="9360"/>
      </w:tabs>
      <w:ind w:right="360"/>
      <w:rPr>
        <w:color w:val="000000"/>
      </w:rPr>
    </w:pPr>
  </w:p>
  <w:p w14:paraId="0A67B153" w14:textId="77777777" w:rsidR="00733A0B" w:rsidRPr="00A32686" w:rsidRDefault="008B453B" w:rsidP="00A3268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7BDA15" w14:textId="77777777" w:rsidR="00733A0B" w:rsidRDefault="008B453B">
    <w:pPr>
      <w:pBdr>
        <w:top w:val="nil"/>
        <w:left w:val="nil"/>
        <w:bottom w:val="nil"/>
        <w:right w:val="nil"/>
        <w:between w:val="nil"/>
      </w:pBdr>
      <w:tabs>
        <w:tab w:val="center" w:pos="4680"/>
        <w:tab w:val="right" w:pos="9360"/>
      </w:tabs>
      <w:rPr>
        <w:i/>
        <w:color w:val="000000"/>
        <w:sz w:val="21"/>
        <w:szCs w:val="21"/>
      </w:rPr>
    </w:pPr>
    <w:r>
      <w:rPr>
        <w:i/>
        <w:color w:val="000000"/>
        <w:sz w:val="21"/>
        <w:szCs w:val="21"/>
      </w:rPr>
      <w:fldChar w:fldCharType="begin"/>
    </w:r>
    <w:r>
      <w:rPr>
        <w:i/>
        <w:color w:val="000000"/>
        <w:sz w:val="21"/>
        <w:szCs w:val="21"/>
      </w:rPr>
      <w:instrText>PAGE</w:instrText>
    </w:r>
    <w:r>
      <w:rPr>
        <w:i/>
        <w:color w:val="000000"/>
        <w:sz w:val="21"/>
        <w:szCs w:val="21"/>
      </w:rPr>
      <w:fldChar w:fldCharType="separate"/>
    </w:r>
    <w:r>
      <w:rPr>
        <w:i/>
        <w:noProof/>
        <w:color w:val="000000"/>
        <w:sz w:val="21"/>
        <w:szCs w:val="21"/>
      </w:rPr>
      <w:t>1</w:t>
    </w:r>
    <w:r>
      <w:rPr>
        <w:i/>
        <w:color w:val="000000"/>
        <w:sz w:val="21"/>
        <w:szCs w:val="21"/>
      </w:rPr>
      <w:fldChar w:fldCharType="end"/>
    </w:r>
  </w:p>
  <w:tbl>
    <w:tblPr>
      <w:tblStyle w:val="a2"/>
      <w:tblW w:w="9015" w:type="dxa"/>
      <w:tblLayout w:type="fixed"/>
      <w:tblLook w:val="0600" w:firstRow="0" w:lastRow="0" w:firstColumn="0" w:lastColumn="0" w:noHBand="1" w:noVBand="1"/>
    </w:tblPr>
    <w:tblGrid>
      <w:gridCol w:w="3005"/>
      <w:gridCol w:w="3005"/>
      <w:gridCol w:w="3005"/>
    </w:tblGrid>
    <w:tr w:rsidR="00733A0B" w14:paraId="69441C5D" w14:textId="77777777" w:rsidTr="00A32686">
      <w:trPr>
        <w:trHeight w:val="300"/>
      </w:trPr>
      <w:tc>
        <w:tcPr>
          <w:tcW w:w="3005" w:type="dxa"/>
        </w:tcPr>
        <w:p w14:paraId="4E6A5283" w14:textId="77777777" w:rsidR="00733A0B" w:rsidRDefault="008B453B">
          <w:pPr>
            <w:pBdr>
              <w:top w:val="nil"/>
              <w:left w:val="nil"/>
              <w:bottom w:val="nil"/>
              <w:right w:val="nil"/>
              <w:between w:val="nil"/>
            </w:pBdr>
            <w:tabs>
              <w:tab w:val="center" w:pos="4680"/>
              <w:tab w:val="right" w:pos="9360"/>
            </w:tabs>
            <w:ind w:right="360"/>
            <w:rPr>
              <w:i/>
              <w:color w:val="000000"/>
              <w:sz w:val="21"/>
              <w:szCs w:val="21"/>
            </w:rPr>
          </w:pPr>
        </w:p>
      </w:tc>
      <w:tc>
        <w:tcPr>
          <w:tcW w:w="3005" w:type="dxa"/>
        </w:tcPr>
        <w:p w14:paraId="5FEC413B" w14:textId="77777777" w:rsidR="00733A0B" w:rsidRDefault="008B453B">
          <w:pPr>
            <w:pBdr>
              <w:top w:val="nil"/>
              <w:left w:val="nil"/>
              <w:bottom w:val="nil"/>
              <w:right w:val="nil"/>
              <w:between w:val="nil"/>
            </w:pBdr>
            <w:tabs>
              <w:tab w:val="center" w:pos="4680"/>
              <w:tab w:val="right" w:pos="9360"/>
            </w:tabs>
            <w:rPr>
              <w:i/>
              <w:color w:val="000000"/>
              <w:sz w:val="21"/>
              <w:szCs w:val="21"/>
            </w:rPr>
          </w:pPr>
        </w:p>
      </w:tc>
      <w:tc>
        <w:tcPr>
          <w:tcW w:w="3005" w:type="dxa"/>
        </w:tcPr>
        <w:p w14:paraId="058F65E1" w14:textId="77777777" w:rsidR="00733A0B" w:rsidRDefault="008B453B">
          <w:pPr>
            <w:pBdr>
              <w:top w:val="nil"/>
              <w:left w:val="nil"/>
              <w:bottom w:val="nil"/>
              <w:right w:val="nil"/>
              <w:between w:val="nil"/>
            </w:pBdr>
            <w:tabs>
              <w:tab w:val="center" w:pos="4680"/>
              <w:tab w:val="right" w:pos="9360"/>
            </w:tabs>
            <w:rPr>
              <w:i/>
              <w:color w:val="000000"/>
              <w:sz w:val="21"/>
              <w:szCs w:val="21"/>
            </w:rPr>
          </w:pPr>
          <w:r>
            <w:rPr>
              <w:i/>
              <w:color w:val="000000"/>
              <w:sz w:val="21"/>
              <w:szCs w:val="21"/>
            </w:rPr>
            <w:t>Wilson et al., page</w:t>
          </w:r>
        </w:p>
      </w:tc>
    </w:tr>
  </w:tbl>
  <w:p w14:paraId="7500FB64" w14:textId="77777777" w:rsidR="00783712" w:rsidRPr="00330D37" w:rsidRDefault="008B453B">
    <w:pPr>
      <w:pBdr>
        <w:top w:val="nil"/>
        <w:left w:val="nil"/>
        <w:bottom w:val="nil"/>
        <w:right w:val="nil"/>
        <w:between w:val="nil"/>
      </w:pBdr>
      <w:tabs>
        <w:tab w:val="center" w:pos="4680"/>
        <w:tab w:val="right" w:pos="9360"/>
      </w:tabs>
      <w:rPr>
        <w:color w:val="000000"/>
      </w:rPr>
    </w:pPr>
  </w:p>
  <w:p w14:paraId="41B922D7" w14:textId="77777777" w:rsidR="00733A0B" w:rsidRPr="00A32686" w:rsidRDefault="008B453B" w:rsidP="00A3268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EE0735" w14:textId="77777777" w:rsidR="00733A0B" w:rsidRDefault="008B453B">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799767C6" w14:textId="77777777" w:rsidR="00783712" w:rsidRPr="00330D37" w:rsidRDefault="008B453B">
    <w:pPr>
      <w:pBdr>
        <w:top w:val="nil"/>
        <w:left w:val="nil"/>
        <w:bottom w:val="nil"/>
        <w:right w:val="nil"/>
        <w:between w:val="nil"/>
      </w:pBdr>
      <w:tabs>
        <w:tab w:val="center" w:pos="4680"/>
        <w:tab w:val="right" w:pos="9360"/>
      </w:tabs>
      <w:ind w:right="360"/>
      <w:rPr>
        <w:color w:val="000000"/>
      </w:rPr>
    </w:pPr>
  </w:p>
  <w:p w14:paraId="407509DF" w14:textId="77777777" w:rsidR="00733A0B" w:rsidRPr="00A32686" w:rsidRDefault="008B453B" w:rsidP="00A32686"/>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29E5C9" w14:textId="77777777" w:rsidR="00733A0B" w:rsidRDefault="008B453B">
    <w:pPr>
      <w:widowControl w:val="0"/>
      <w:pBdr>
        <w:top w:val="nil"/>
        <w:left w:val="nil"/>
        <w:bottom w:val="nil"/>
        <w:right w:val="nil"/>
        <w:between w:val="nil"/>
      </w:pBdr>
      <w:spacing w:line="276" w:lineRule="auto"/>
      <w:rPr>
        <w:color w:val="000000"/>
      </w:rPr>
    </w:pPr>
  </w:p>
  <w:tbl>
    <w:tblPr>
      <w:tblStyle w:val="a1"/>
      <w:tblW w:w="9015" w:type="dxa"/>
      <w:tblLayout w:type="fixed"/>
      <w:tblLook w:val="0600" w:firstRow="0" w:lastRow="0" w:firstColumn="0" w:lastColumn="0" w:noHBand="1" w:noVBand="1"/>
    </w:tblPr>
    <w:tblGrid>
      <w:gridCol w:w="3005"/>
      <w:gridCol w:w="3005"/>
      <w:gridCol w:w="3005"/>
    </w:tblGrid>
    <w:tr w:rsidR="00733A0B" w14:paraId="6ACA23E6" w14:textId="77777777" w:rsidTr="00A32686">
      <w:trPr>
        <w:trHeight w:val="300"/>
      </w:trPr>
      <w:tc>
        <w:tcPr>
          <w:tcW w:w="3005" w:type="dxa"/>
        </w:tcPr>
        <w:p w14:paraId="19610EE3" w14:textId="77777777" w:rsidR="00733A0B" w:rsidRDefault="008B453B">
          <w:pPr>
            <w:pBdr>
              <w:top w:val="nil"/>
              <w:left w:val="nil"/>
              <w:bottom w:val="nil"/>
              <w:right w:val="nil"/>
              <w:between w:val="nil"/>
            </w:pBdr>
            <w:tabs>
              <w:tab w:val="center" w:pos="4680"/>
              <w:tab w:val="right" w:pos="9360"/>
            </w:tabs>
            <w:rPr>
              <w:color w:val="000000"/>
            </w:rPr>
          </w:pPr>
        </w:p>
      </w:tc>
      <w:tc>
        <w:tcPr>
          <w:tcW w:w="3005" w:type="dxa"/>
        </w:tcPr>
        <w:p w14:paraId="3B84DD27" w14:textId="77777777" w:rsidR="00733A0B" w:rsidRDefault="008B453B">
          <w:pPr>
            <w:pBdr>
              <w:top w:val="nil"/>
              <w:left w:val="nil"/>
              <w:bottom w:val="nil"/>
              <w:right w:val="nil"/>
              <w:between w:val="nil"/>
            </w:pBdr>
            <w:tabs>
              <w:tab w:val="center" w:pos="4680"/>
              <w:tab w:val="right" w:pos="9360"/>
            </w:tabs>
            <w:rPr>
              <w:color w:val="000000"/>
            </w:rPr>
          </w:pPr>
        </w:p>
      </w:tc>
      <w:tc>
        <w:tcPr>
          <w:tcW w:w="3005" w:type="dxa"/>
        </w:tcPr>
        <w:p w14:paraId="7324EDF7" w14:textId="77777777" w:rsidR="00733A0B" w:rsidRDefault="008B453B">
          <w:pPr>
            <w:pBdr>
              <w:top w:val="nil"/>
              <w:left w:val="nil"/>
              <w:bottom w:val="nil"/>
              <w:right w:val="nil"/>
              <w:between w:val="nil"/>
            </w:pBdr>
            <w:tabs>
              <w:tab w:val="center" w:pos="4680"/>
              <w:tab w:val="right" w:pos="9360"/>
            </w:tabs>
            <w:rPr>
              <w:color w:val="000000"/>
            </w:rPr>
          </w:pPr>
        </w:p>
      </w:tc>
    </w:tr>
  </w:tbl>
  <w:p w14:paraId="67D02277" w14:textId="77777777" w:rsidR="00783712" w:rsidRPr="00330D37" w:rsidRDefault="008B453B">
    <w:pPr>
      <w:pBdr>
        <w:top w:val="nil"/>
        <w:left w:val="nil"/>
        <w:bottom w:val="nil"/>
        <w:right w:val="nil"/>
        <w:between w:val="nil"/>
      </w:pBdr>
      <w:tabs>
        <w:tab w:val="center" w:pos="4680"/>
        <w:tab w:val="right" w:pos="9360"/>
      </w:tabs>
      <w:jc w:val="right"/>
      <w:rPr>
        <w:i/>
        <w:color w:val="000000"/>
        <w:sz w:val="21"/>
        <w:szCs w:val="21"/>
      </w:rPr>
    </w:pPr>
  </w:p>
  <w:p w14:paraId="36C72F6F" w14:textId="77777777" w:rsidR="00733A0B" w:rsidRPr="00A32686" w:rsidRDefault="008B453B" w:rsidP="00A3268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53B"/>
    <w:rsid w:val="00755780"/>
    <w:rsid w:val="008B4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95B34"/>
  <w15:chartTrackingRefBased/>
  <w15:docId w15:val="{9E236BEE-FD1C-41FD-A303-505FF2E3D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453B"/>
    <w:pPr>
      <w:spacing w:after="0" w:line="36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8B453B"/>
    <w:pPr>
      <w:outlineLvl w:val="0"/>
    </w:pPr>
    <w:rPr>
      <w:b/>
      <w:bCs/>
    </w:rPr>
  </w:style>
  <w:style w:type="paragraph" w:styleId="Heading2">
    <w:name w:val="heading 2"/>
    <w:basedOn w:val="Normal"/>
    <w:next w:val="Normal"/>
    <w:link w:val="Heading2Char"/>
    <w:uiPriority w:val="9"/>
    <w:unhideWhenUsed/>
    <w:qFormat/>
    <w:rsid w:val="008B453B"/>
    <w:pP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453B"/>
    <w:rPr>
      <w:rFonts w:ascii="Times New Roman" w:eastAsia="Times New Roman" w:hAnsi="Times New Roman" w:cs="Times New Roman"/>
      <w:b/>
      <w:bCs/>
      <w:sz w:val="24"/>
      <w:szCs w:val="24"/>
      <w:lang w:val="en-GB" w:eastAsia="en-GB"/>
    </w:rPr>
  </w:style>
  <w:style w:type="character" w:customStyle="1" w:styleId="Heading2Char">
    <w:name w:val="Heading 2 Char"/>
    <w:basedOn w:val="DefaultParagraphFont"/>
    <w:link w:val="Heading2"/>
    <w:uiPriority w:val="9"/>
    <w:rsid w:val="008B453B"/>
    <w:rPr>
      <w:rFonts w:ascii="Times New Roman" w:eastAsia="Times New Roman" w:hAnsi="Times New Roman" w:cs="Times New Roman"/>
      <w:b/>
      <w:bCs/>
      <w:sz w:val="24"/>
      <w:szCs w:val="24"/>
      <w:lang w:val="en-GB" w:eastAsia="en-GB"/>
    </w:rPr>
  </w:style>
  <w:style w:type="table" w:customStyle="1" w:styleId="a1">
    <w:name w:val="a1"/>
    <w:basedOn w:val="TableNormal"/>
    <w:rsid w:val="008B453B"/>
    <w:pPr>
      <w:spacing w:after="0" w:line="360" w:lineRule="auto"/>
    </w:pPr>
    <w:rPr>
      <w:rFonts w:ascii="Times New Roman" w:eastAsia="Times New Roman" w:hAnsi="Times New Roman" w:cs="Times New Roman"/>
      <w:sz w:val="24"/>
      <w:szCs w:val="24"/>
      <w:lang w:val="en-GB" w:eastAsia="en-GB"/>
    </w:rPr>
    <w:tblPr>
      <w:tblStyleRowBandSize w:val="1"/>
      <w:tblStyleColBandSize w:val="1"/>
      <w:tblCellMar>
        <w:left w:w="115" w:type="dxa"/>
        <w:right w:w="115" w:type="dxa"/>
      </w:tblCellMar>
    </w:tblPr>
  </w:style>
  <w:style w:type="table" w:customStyle="1" w:styleId="a2">
    <w:name w:val="a2"/>
    <w:basedOn w:val="TableNormal"/>
    <w:rsid w:val="008B453B"/>
    <w:pPr>
      <w:spacing w:after="0" w:line="360" w:lineRule="auto"/>
    </w:pPr>
    <w:rPr>
      <w:rFonts w:ascii="Times New Roman" w:eastAsia="Times New Roman" w:hAnsi="Times New Roman" w:cs="Times New Roman"/>
      <w:sz w:val="24"/>
      <w:szCs w:val="24"/>
      <w:lang w:val="en-GB" w:eastAsia="en-GB"/>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452</Words>
  <Characters>2582</Characters>
  <Application>Microsoft Office Word</Application>
  <DocSecurity>0</DocSecurity>
  <Lines>21</Lines>
  <Paragraphs>6</Paragraphs>
  <ScaleCrop>false</ScaleCrop>
  <Company>Springer Nature</Company>
  <LinksUpToDate>false</LinksUpToDate>
  <CharactersWithSpaces>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2023-07-26T09:03:00Z</dcterms:created>
  <dcterms:modified xsi:type="dcterms:W3CDTF">2023-07-26T09:03:00Z</dcterms:modified>
</cp:coreProperties>
</file>