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0E45E" w14:textId="77777777" w:rsidR="00733921" w:rsidRDefault="00733921"/>
    <w:p w14:paraId="4B3B44EC" w14:textId="77F1AF47" w:rsidR="000C2F8F" w:rsidRPr="000C2F8F" w:rsidRDefault="000C2F8F" w:rsidP="000C2F8F">
      <w:pPr>
        <w:pStyle w:val="a7"/>
        <w:spacing w:line="480" w:lineRule="auto"/>
        <w:ind w:left="360" w:firstLineChars="0" w:firstLine="0"/>
        <w:rPr>
          <w:rFonts w:ascii="Arial Unicode MS" w:eastAsia="Arial Unicode MS" w:hAnsi="Arial Unicode MS" w:cs="Arial Unicode MS"/>
        </w:rPr>
      </w:pPr>
      <w:r w:rsidRPr="00C87E4A">
        <w:rPr>
          <w:rFonts w:ascii="Arial Unicode MS" w:eastAsia="Arial Unicode MS" w:hAnsi="Arial Unicode MS" w:cs="Arial Unicode MS" w:hint="eastAsia"/>
          <w:b/>
          <w:bCs/>
        </w:rPr>
        <w:t>S</w:t>
      </w:r>
      <w:r w:rsidRPr="00C87E4A">
        <w:rPr>
          <w:rFonts w:ascii="Arial Unicode MS" w:eastAsia="Arial Unicode MS" w:hAnsi="Arial Unicode MS" w:cs="Arial Unicode MS"/>
          <w:b/>
          <w:bCs/>
        </w:rPr>
        <w:t>3 table</w:t>
      </w:r>
      <w:r>
        <w:rPr>
          <w:rFonts w:ascii="Arial Unicode MS" w:eastAsia="Arial Unicode MS" w:hAnsi="Arial Unicode MS" w:cs="Arial Unicode MS"/>
        </w:rPr>
        <w:t xml:space="preserve">: </w:t>
      </w:r>
      <w:r w:rsidRPr="00C471C4">
        <w:rPr>
          <w:rFonts w:ascii="Arial Unicode MS" w:eastAsia="Arial Unicode MS" w:hAnsi="Arial Unicode MS" w:cs="Arial Unicode MS" w:hint="eastAsia"/>
        </w:rPr>
        <w:t>Newcastle – Ottawa quality assessment scale （cohort studies）</w:t>
      </w:r>
    </w:p>
    <w:tbl>
      <w:tblPr>
        <w:tblW w:w="16719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3052"/>
        <w:gridCol w:w="1338"/>
        <w:gridCol w:w="1259"/>
        <w:gridCol w:w="1500"/>
        <w:gridCol w:w="1616"/>
        <w:gridCol w:w="1348"/>
        <w:gridCol w:w="1326"/>
        <w:gridCol w:w="2798"/>
        <w:gridCol w:w="698"/>
        <w:gridCol w:w="984"/>
      </w:tblGrid>
      <w:tr w:rsidR="000C2F8F" w:rsidRPr="00FA267D" w14:paraId="1CDBF35A" w14:textId="77777777" w:rsidTr="000C2F8F">
        <w:tc>
          <w:tcPr>
            <w:tcW w:w="800" w:type="dxa"/>
            <w:vMerge w:val="restart"/>
          </w:tcPr>
          <w:p w14:paraId="53B27DAC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b/>
                <w:sz w:val="15"/>
                <w:szCs w:val="15"/>
              </w:rPr>
              <w:t>s</w:t>
            </w: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tudies</w:t>
            </w:r>
          </w:p>
        </w:tc>
        <w:tc>
          <w:tcPr>
            <w:tcW w:w="7149" w:type="dxa"/>
            <w:gridSpan w:val="4"/>
            <w:tcBorders>
              <w:bottom w:val="single" w:sz="4" w:space="0" w:color="auto"/>
            </w:tcBorders>
          </w:tcPr>
          <w:p w14:paraId="018C0E93" w14:textId="77777777" w:rsidR="000C2F8F" w:rsidRPr="00FA267D" w:rsidRDefault="000C2F8F" w:rsidP="003974C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Selection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517BDC5" w14:textId="77777777" w:rsidR="000C2F8F" w:rsidRPr="00FA267D" w:rsidRDefault="000C2F8F" w:rsidP="003974C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Comparability</w:t>
            </w:r>
          </w:p>
        </w:tc>
        <w:tc>
          <w:tcPr>
            <w:tcW w:w="5472" w:type="dxa"/>
            <w:gridSpan w:val="3"/>
            <w:tcBorders>
              <w:bottom w:val="single" w:sz="4" w:space="0" w:color="auto"/>
            </w:tcBorders>
          </w:tcPr>
          <w:p w14:paraId="2AD81A64" w14:textId="77777777" w:rsidR="000C2F8F" w:rsidRPr="00FA267D" w:rsidRDefault="000C2F8F" w:rsidP="003974C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Outcome</w:t>
            </w:r>
          </w:p>
        </w:tc>
        <w:tc>
          <w:tcPr>
            <w:tcW w:w="698" w:type="dxa"/>
            <w:vMerge w:val="restart"/>
          </w:tcPr>
          <w:p w14:paraId="3F793C07" w14:textId="77777777" w:rsidR="000C2F8F" w:rsidRPr="00FA267D" w:rsidRDefault="000C2F8F" w:rsidP="003974C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Score</w:t>
            </w:r>
          </w:p>
        </w:tc>
        <w:tc>
          <w:tcPr>
            <w:tcW w:w="984" w:type="dxa"/>
            <w:vMerge w:val="restart"/>
          </w:tcPr>
          <w:p w14:paraId="2900C03F" w14:textId="77777777" w:rsidR="000C2F8F" w:rsidRPr="00FA267D" w:rsidRDefault="000C2F8F" w:rsidP="003974C0">
            <w:pPr>
              <w:jc w:val="center"/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Risk of bias</w:t>
            </w:r>
          </w:p>
        </w:tc>
      </w:tr>
      <w:tr w:rsidR="000C2F8F" w:rsidRPr="00FA267D" w14:paraId="21BF5156" w14:textId="77777777" w:rsidTr="000C2F8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800" w:type="dxa"/>
            <w:vMerge/>
          </w:tcPr>
          <w:p w14:paraId="3D137B98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</w:tcPr>
          <w:p w14:paraId="2F793D07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color w:val="333333"/>
                <w:sz w:val="15"/>
                <w:szCs w:val="15"/>
              </w:rPr>
              <w:t>Representativeness of the </w:t>
            </w:r>
            <w:r w:rsidRPr="00FA267D">
              <w:rPr>
                <w:rFonts w:ascii="Arial Unicode MS" w:eastAsia="Arial Unicode MS" w:hAnsi="Arial Unicode MS" w:cs="Arial Unicode MS" w:hint="eastAsia"/>
                <w:b/>
                <w:color w:val="333333"/>
                <w:sz w:val="15"/>
                <w:szCs w:val="15"/>
              </w:rPr>
              <w:t>e</w:t>
            </w:r>
            <w:r w:rsidRPr="00FA267D">
              <w:rPr>
                <w:rFonts w:ascii="Arial Unicode MS" w:eastAsia="Arial Unicode MS" w:hAnsi="Arial Unicode MS" w:cs="Arial Unicode MS"/>
                <w:b/>
                <w:color w:val="333333"/>
                <w:sz w:val="15"/>
                <w:szCs w:val="15"/>
              </w:rPr>
              <w:t>xposed cohort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592701F8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Selection of the non</w:t>
            </w:r>
            <w:r w:rsidRPr="00FA267D">
              <w:rPr>
                <w:rFonts w:ascii="Arial Unicode MS" w:eastAsia="Arial Unicode MS" w:hAnsi="Arial Unicode MS" w:cs="Arial Unicode MS" w:hint="eastAsia"/>
                <w:b/>
                <w:sz w:val="15"/>
                <w:szCs w:val="15"/>
              </w:rPr>
              <w:t>-</w:t>
            </w: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exposed cohort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48836B6C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Ascertainment</w:t>
            </w:r>
            <w:r w:rsidRPr="00FA267D">
              <w:rPr>
                <w:rFonts w:ascii="Arial Unicode MS" w:eastAsia="Arial Unicode MS" w:hAnsi="Arial Unicode MS" w:cs="Arial Unicode MS" w:hint="eastAsia"/>
                <w:b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of exposure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74BCF063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Demonstration</w:t>
            </w:r>
            <w:r w:rsidRPr="00FA267D">
              <w:rPr>
                <w:rFonts w:ascii="Arial Unicode MS" w:eastAsia="Arial Unicode MS" w:hAnsi="Arial Unicode MS" w:cs="Arial Unicode MS" w:hint="eastAsia"/>
                <w:b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that outcome of interest was not present at start of study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0F5F0439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 xml:space="preserve">Comparability of cohorts </w:t>
            </w:r>
            <w:proofErr w:type="gramStart"/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on the basis of</w:t>
            </w:r>
            <w:proofErr w:type="gramEnd"/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 xml:space="preserve"> the design or analysis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4B31B4BB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Assessment of outcome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4CEF4259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Was follow-up long enough for outcomes to occur</w:t>
            </w:r>
          </w:p>
        </w:tc>
        <w:tc>
          <w:tcPr>
            <w:tcW w:w="2798" w:type="dxa"/>
            <w:tcBorders>
              <w:top w:val="single" w:sz="4" w:space="0" w:color="auto"/>
            </w:tcBorders>
          </w:tcPr>
          <w:p w14:paraId="11D13710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Adequacy of follow up of cohorts</w:t>
            </w:r>
          </w:p>
        </w:tc>
        <w:tc>
          <w:tcPr>
            <w:tcW w:w="698" w:type="dxa"/>
            <w:vMerge/>
          </w:tcPr>
          <w:p w14:paraId="223A156A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84" w:type="dxa"/>
            <w:vMerge/>
          </w:tcPr>
          <w:p w14:paraId="29544A9E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0C2F8F" w:rsidRPr="00FA267D" w14:paraId="37D97D9E" w14:textId="77777777" w:rsidTr="000C2F8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800" w:type="dxa"/>
            <w:vMerge/>
          </w:tcPr>
          <w:p w14:paraId="43A02416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52" w:type="dxa"/>
          </w:tcPr>
          <w:p w14:paraId="719543A5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a.</w:t>
            </w:r>
            <w:r w:rsidRPr="00FA267D">
              <w:rPr>
                <w:rFonts w:ascii="Arial Unicode MS" w:eastAsia="Arial Unicode MS" w:hAnsi="Arial Unicode MS" w:cs="Arial Unicode MS" w:hint="eastAsia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truly representative of the average</w:t>
            </w:r>
            <w:r w:rsidRPr="00FA267D">
              <w:rPr>
                <w:rFonts w:ascii="Arial Unicode MS" w:eastAsia="Arial Unicode MS" w:hAnsi="Arial Unicode MS" w:cs="Arial Unicode MS" w:hint="eastAsia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(describe) in the community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  <w:p w14:paraId="0651011D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 xml:space="preserve">b.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somewhat representative of the average</w:t>
            </w:r>
            <w:r w:rsidRPr="00FA267D">
              <w:rPr>
                <w:rFonts w:ascii="Arial Unicode MS" w:eastAsia="Arial Unicode MS" w:hAnsi="Arial Unicode MS" w:cs="Arial Unicode MS" w:hint="eastAsia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in the community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  <w:p w14:paraId="6CA465DD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c</w:t>
            </w:r>
            <w:r w:rsidRPr="00FA267D">
              <w:rPr>
                <w:rFonts w:ascii="Arial Unicode MS" w:eastAsia="Arial Unicode MS" w:hAnsi="Arial Unicode MS" w:cs="Arial Unicode MS" w:hint="eastAsia"/>
                <w:b/>
                <w:kern w:val="0"/>
                <w:sz w:val="15"/>
                <w:szCs w:val="15"/>
              </w:rPr>
              <w:t>.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selected group of users </w:t>
            </w:r>
            <w:proofErr w:type="spellStart"/>
            <w:proofErr w:type="gramStart"/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eg</w:t>
            </w:r>
            <w:proofErr w:type="spellEnd"/>
            <w:proofErr w:type="gramEnd"/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 nurses, volunteers</w:t>
            </w:r>
          </w:p>
          <w:p w14:paraId="79E4AF31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b/>
                <w:kern w:val="0"/>
                <w:sz w:val="15"/>
                <w:szCs w:val="15"/>
              </w:rPr>
              <w:t xml:space="preserve">d.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no description of the derivation of the cohort</w:t>
            </w:r>
          </w:p>
        </w:tc>
        <w:tc>
          <w:tcPr>
            <w:tcW w:w="1338" w:type="dxa"/>
          </w:tcPr>
          <w:p w14:paraId="5521D7D2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a.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community controls ☆</w:t>
            </w:r>
          </w:p>
          <w:p w14:paraId="0E617839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b.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drawn from a different source.</w:t>
            </w:r>
          </w:p>
          <w:p w14:paraId="4C4DC985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c．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no description of the derivation of the non-exposed cohort</w:t>
            </w:r>
          </w:p>
        </w:tc>
        <w:tc>
          <w:tcPr>
            <w:tcW w:w="1259" w:type="dxa"/>
          </w:tcPr>
          <w:p w14:paraId="5F38D09A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 xml:space="preserve">a.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secure record (</w:t>
            </w:r>
            <w:proofErr w:type="spellStart"/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eg</w:t>
            </w:r>
            <w:proofErr w:type="spellEnd"/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 surgical </w:t>
            </w:r>
            <w:proofErr w:type="gramStart"/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records)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  <w:proofErr w:type="gramEnd"/>
          </w:p>
          <w:p w14:paraId="21A78342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b.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structured interview</w:t>
            </w:r>
          </w:p>
          <w:p w14:paraId="32633040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c.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written self-report.</w:t>
            </w:r>
          </w:p>
          <w:p w14:paraId="223EE6B6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b/>
                <w:kern w:val="0"/>
                <w:sz w:val="15"/>
                <w:szCs w:val="15"/>
              </w:rPr>
              <w:t>d</w:t>
            </w: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 xml:space="preserve">.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no description</w:t>
            </w:r>
          </w:p>
        </w:tc>
        <w:tc>
          <w:tcPr>
            <w:tcW w:w="1500" w:type="dxa"/>
          </w:tcPr>
          <w:p w14:paraId="62259753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b/>
                <w:kern w:val="0"/>
                <w:sz w:val="15"/>
                <w:szCs w:val="15"/>
              </w:rPr>
              <w:t xml:space="preserve">. 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yes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(endpoint) 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  <w:p w14:paraId="572B48BB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b.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no</w:t>
            </w:r>
          </w:p>
        </w:tc>
        <w:tc>
          <w:tcPr>
            <w:tcW w:w="1616" w:type="dxa"/>
          </w:tcPr>
          <w:p w14:paraId="32921842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Cs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Cs/>
                <w:kern w:val="0"/>
                <w:sz w:val="15"/>
                <w:szCs w:val="15"/>
              </w:rPr>
              <w:t xml:space="preserve">a. </w:t>
            </w:r>
            <w:r w:rsidRPr="00FA267D">
              <w:rPr>
                <w:rFonts w:ascii="Arial Unicode MS" w:eastAsia="Arial Unicode MS" w:hAnsi="Arial Unicode MS" w:cs="Arial Unicode MS"/>
                <w:bCs/>
                <w:sz w:val="15"/>
                <w:szCs w:val="15"/>
              </w:rPr>
              <w:t>study controls for</w:t>
            </w:r>
            <w:r w:rsidRPr="00FA267D">
              <w:rPr>
                <w:rFonts w:ascii="Arial Unicode MS" w:eastAsia="Arial Unicode MS" w:hAnsi="Arial Unicode MS" w:cs="Arial Unicode MS" w:hint="eastAsia"/>
                <w:bCs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bCs/>
                <w:sz w:val="15"/>
                <w:szCs w:val="15"/>
              </w:rPr>
              <w:t>(select the most important factor)</w:t>
            </w:r>
            <w:r w:rsidRPr="00FA267D">
              <w:rPr>
                <w:rFonts w:ascii="Arial Unicode MS" w:eastAsia="Arial Unicode MS" w:hAnsi="Arial Unicode MS" w:cs="Arial Unicode MS"/>
                <w:bCs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 w:hint="eastAsia"/>
                <w:bCs/>
                <w:kern w:val="0"/>
                <w:sz w:val="15"/>
                <w:szCs w:val="15"/>
              </w:rPr>
              <w:t>☆</w:t>
            </w:r>
          </w:p>
          <w:p w14:paraId="29B96C27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Cs/>
              </w:rPr>
            </w:pPr>
            <w:r w:rsidRPr="00FA267D">
              <w:rPr>
                <w:rFonts w:ascii="Arial Unicode MS" w:eastAsia="Arial Unicode MS" w:hAnsi="Arial Unicode MS" w:cs="Arial Unicode MS"/>
                <w:bCs/>
                <w:kern w:val="0"/>
                <w:sz w:val="15"/>
                <w:szCs w:val="15"/>
              </w:rPr>
              <w:t xml:space="preserve">b. </w:t>
            </w:r>
            <w:r w:rsidRPr="00FA267D">
              <w:rPr>
                <w:rFonts w:ascii="Arial Unicode MS" w:eastAsia="Arial Unicode MS" w:hAnsi="Arial Unicode MS" w:cs="Arial Unicode MS"/>
                <w:bCs/>
                <w:sz w:val="15"/>
                <w:szCs w:val="15"/>
              </w:rPr>
              <w:t>study controls for any additional factor (</w:t>
            </w:r>
            <w:proofErr w:type="gramStart"/>
            <w:r w:rsidRPr="00FA267D">
              <w:rPr>
                <w:rFonts w:ascii="Arial Unicode MS" w:eastAsia="Arial Unicode MS" w:hAnsi="Arial Unicode MS" w:cs="Arial Unicode MS"/>
                <w:bCs/>
                <w:sz w:val="15"/>
                <w:szCs w:val="15"/>
              </w:rPr>
              <w:t>This criteria</w:t>
            </w:r>
            <w:proofErr w:type="gramEnd"/>
            <w:r w:rsidRPr="00FA267D">
              <w:rPr>
                <w:rFonts w:ascii="Arial Unicode MS" w:eastAsia="Arial Unicode MS" w:hAnsi="Arial Unicode MS" w:cs="Arial Unicode MS"/>
                <w:bCs/>
                <w:sz w:val="15"/>
                <w:szCs w:val="15"/>
              </w:rPr>
              <w:t xml:space="preserve"> could be modified to indicate specific control for a second important factor.)</w:t>
            </w:r>
            <w:r w:rsidRPr="00FA267D">
              <w:rPr>
                <w:rFonts w:ascii="Arial Unicode MS" w:eastAsia="Arial Unicode MS" w:hAnsi="Arial Unicode MS" w:cs="Arial Unicode MS" w:hint="eastAsia"/>
                <w:bCs/>
                <w:kern w:val="0"/>
                <w:sz w:val="15"/>
                <w:szCs w:val="15"/>
              </w:rPr>
              <w:t xml:space="preserve"> ☆</w:t>
            </w:r>
          </w:p>
        </w:tc>
        <w:tc>
          <w:tcPr>
            <w:tcW w:w="1348" w:type="dxa"/>
          </w:tcPr>
          <w:p w14:paraId="4976D548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 xml:space="preserve">a.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independent blind assessment ☆</w:t>
            </w:r>
          </w:p>
          <w:p w14:paraId="6EE0FF13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b.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 record linkage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  <w:p w14:paraId="48A66686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c.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self-report</w:t>
            </w:r>
          </w:p>
          <w:p w14:paraId="32B80ECD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d.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no description</w:t>
            </w:r>
          </w:p>
        </w:tc>
        <w:tc>
          <w:tcPr>
            <w:tcW w:w="1326" w:type="dxa"/>
          </w:tcPr>
          <w:p w14:paraId="5A1CAC6E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a.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yes (select an adequate follow up period for outcome of interest)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 xml:space="preserve"> ☆</w:t>
            </w:r>
          </w:p>
          <w:p w14:paraId="190FEFA0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b</w:t>
            </w:r>
            <w:r w:rsidRPr="00FA267D">
              <w:rPr>
                <w:rFonts w:ascii="Arial Unicode MS" w:eastAsia="Arial Unicode MS" w:hAnsi="Arial Unicode MS" w:cs="Arial Unicode MS" w:hint="eastAsia"/>
                <w:b/>
                <w:kern w:val="0"/>
                <w:sz w:val="15"/>
                <w:szCs w:val="15"/>
              </w:rPr>
              <w:t>.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no</w:t>
            </w:r>
          </w:p>
        </w:tc>
        <w:tc>
          <w:tcPr>
            <w:tcW w:w="2798" w:type="dxa"/>
          </w:tcPr>
          <w:p w14:paraId="136883AD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a.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complete follow up - all subjects accounted for 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  <w:p w14:paraId="2B904051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b.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subjects lost to follow up unlikely to introduce bias-small number lost -&gt; 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  <w:u w:val="single"/>
              </w:rPr>
              <w:t>80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 % (select an adequate %) follow up, or description provided of those lost) 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  <w:p w14:paraId="58002D4E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5"/>
                <w:szCs w:val="15"/>
              </w:rPr>
              <w:t>c.</w:t>
            </w:r>
            <w:r w:rsidRPr="00FA267D"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 xml:space="preserve"> </w:t>
            </w:r>
            <w:proofErr w:type="gramStart"/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follow</w:t>
            </w:r>
            <w:proofErr w:type="gramEnd"/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 up rate &lt;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  <w:u w:val="single"/>
              </w:rPr>
              <w:t>_80_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 xml:space="preserve">% (select an adequate %) and no description of those lost  </w:t>
            </w:r>
          </w:p>
          <w:p w14:paraId="19D6E6ED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sz w:val="15"/>
                <w:szCs w:val="15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sz w:val="15"/>
                <w:szCs w:val="15"/>
              </w:rPr>
              <w:t>d．</w:t>
            </w: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no statement</w:t>
            </w:r>
          </w:p>
        </w:tc>
        <w:tc>
          <w:tcPr>
            <w:tcW w:w="698" w:type="dxa"/>
            <w:vMerge/>
          </w:tcPr>
          <w:p w14:paraId="6465C08D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84" w:type="dxa"/>
            <w:vMerge/>
          </w:tcPr>
          <w:p w14:paraId="2E98D2BE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0C2F8F" w:rsidRPr="00FA267D" w14:paraId="0CE6C027" w14:textId="77777777" w:rsidTr="000C2F8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800" w:type="dxa"/>
          </w:tcPr>
          <w:p w14:paraId="2DB4F1E3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0"/>
                <w:szCs w:val="10"/>
              </w:rPr>
              <w:t>Lindsay M. Kindinger1</w:t>
            </w:r>
          </w:p>
        </w:tc>
        <w:tc>
          <w:tcPr>
            <w:tcW w:w="3052" w:type="dxa"/>
          </w:tcPr>
          <w:p w14:paraId="11B062FD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38" w:type="dxa"/>
          </w:tcPr>
          <w:p w14:paraId="36D24F5D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9" w:type="dxa"/>
          </w:tcPr>
          <w:p w14:paraId="3D3B7941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500" w:type="dxa"/>
          </w:tcPr>
          <w:p w14:paraId="2DA77D9E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616" w:type="dxa"/>
          </w:tcPr>
          <w:p w14:paraId="0D8AE96C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48" w:type="dxa"/>
          </w:tcPr>
          <w:p w14:paraId="2529919A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b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26" w:type="dxa"/>
          </w:tcPr>
          <w:p w14:paraId="46C391B8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2798" w:type="dxa"/>
          </w:tcPr>
          <w:p w14:paraId="57BA1257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bCs/>
                <w:kern w:val="0"/>
                <w:sz w:val="15"/>
                <w:szCs w:val="15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698" w:type="dxa"/>
          </w:tcPr>
          <w:p w14:paraId="185E6CEC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6</w:t>
            </w:r>
          </w:p>
        </w:tc>
        <w:tc>
          <w:tcPr>
            <w:tcW w:w="984" w:type="dxa"/>
          </w:tcPr>
          <w:p w14:paraId="798560FD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medium</w:t>
            </w:r>
          </w:p>
        </w:tc>
      </w:tr>
      <w:tr w:rsidR="000C2F8F" w:rsidRPr="00FA267D" w14:paraId="5F968C45" w14:textId="77777777" w:rsidTr="000C2F8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800" w:type="dxa"/>
          </w:tcPr>
          <w:p w14:paraId="0B663D90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  <w:kern w:val="0"/>
                <w:sz w:val="10"/>
                <w:szCs w:val="10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0"/>
                <w:szCs w:val="10"/>
              </w:rPr>
              <w:t>Lindsay M. Kindinger2</w:t>
            </w:r>
          </w:p>
        </w:tc>
        <w:tc>
          <w:tcPr>
            <w:tcW w:w="3052" w:type="dxa"/>
          </w:tcPr>
          <w:p w14:paraId="6C5462ED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38" w:type="dxa"/>
          </w:tcPr>
          <w:p w14:paraId="7C63FEFA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9" w:type="dxa"/>
          </w:tcPr>
          <w:p w14:paraId="2339B7C8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500" w:type="dxa"/>
          </w:tcPr>
          <w:p w14:paraId="784C29FA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616" w:type="dxa"/>
          </w:tcPr>
          <w:p w14:paraId="1CF3501D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48" w:type="dxa"/>
          </w:tcPr>
          <w:p w14:paraId="3D55186A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b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26" w:type="dxa"/>
          </w:tcPr>
          <w:p w14:paraId="049676F9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2798" w:type="dxa"/>
          </w:tcPr>
          <w:p w14:paraId="1B5EE77B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bCs/>
                <w:kern w:val="0"/>
                <w:sz w:val="15"/>
                <w:szCs w:val="15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698" w:type="dxa"/>
          </w:tcPr>
          <w:p w14:paraId="22E315EE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984" w:type="dxa"/>
          </w:tcPr>
          <w:p w14:paraId="7CCD006F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medium</w:t>
            </w:r>
          </w:p>
        </w:tc>
      </w:tr>
      <w:tr w:rsidR="000C2F8F" w:rsidRPr="00FA267D" w14:paraId="64A8A1F1" w14:textId="77777777" w:rsidTr="000C2F8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800" w:type="dxa"/>
          </w:tcPr>
          <w:p w14:paraId="2D902D47" w14:textId="77777777" w:rsidR="000C2F8F" w:rsidRPr="00FA267D" w:rsidRDefault="000C2F8F" w:rsidP="003974C0">
            <w:pPr>
              <w:rPr>
                <w:rFonts w:ascii="Arial Unicode MS" w:eastAsia="Arial Unicode MS" w:hAnsi="Arial Unicode MS" w:cs="Arial Unicode MS"/>
                <w:b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0"/>
                <w:szCs w:val="10"/>
              </w:rPr>
              <w:t xml:space="preserve">Ashley N. </w:t>
            </w:r>
            <w:proofErr w:type="spellStart"/>
            <w:r w:rsidRPr="00FA267D">
              <w:rPr>
                <w:rFonts w:ascii="Arial Unicode MS" w:eastAsia="Arial Unicode MS" w:hAnsi="Arial Unicode MS" w:cs="Arial Unicode MS"/>
                <w:b/>
                <w:kern w:val="0"/>
                <w:sz w:val="10"/>
                <w:szCs w:val="10"/>
              </w:rPr>
              <w:t>Battarbee</w:t>
            </w:r>
            <w:proofErr w:type="spellEnd"/>
          </w:p>
        </w:tc>
        <w:tc>
          <w:tcPr>
            <w:tcW w:w="3052" w:type="dxa"/>
          </w:tcPr>
          <w:p w14:paraId="0F25BA16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38" w:type="dxa"/>
          </w:tcPr>
          <w:p w14:paraId="3560A7CC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9" w:type="dxa"/>
          </w:tcPr>
          <w:p w14:paraId="581213BA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500" w:type="dxa"/>
          </w:tcPr>
          <w:p w14:paraId="488B9F83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616" w:type="dxa"/>
          </w:tcPr>
          <w:p w14:paraId="2F732F5F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48" w:type="dxa"/>
          </w:tcPr>
          <w:p w14:paraId="70ED0DA0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b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1326" w:type="dxa"/>
          </w:tcPr>
          <w:p w14:paraId="5130A338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2798" w:type="dxa"/>
          </w:tcPr>
          <w:p w14:paraId="51F26AFE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b/>
                <w:bCs/>
                <w:kern w:val="0"/>
                <w:sz w:val="15"/>
                <w:szCs w:val="15"/>
              </w:rPr>
              <w:t>a</w:t>
            </w:r>
            <w:r w:rsidRPr="00FA267D"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☆</w:t>
            </w:r>
          </w:p>
        </w:tc>
        <w:tc>
          <w:tcPr>
            <w:tcW w:w="698" w:type="dxa"/>
          </w:tcPr>
          <w:p w14:paraId="5BFF6F55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 w:hint="eastAsia"/>
              </w:rPr>
              <w:t>6</w:t>
            </w:r>
          </w:p>
        </w:tc>
        <w:tc>
          <w:tcPr>
            <w:tcW w:w="984" w:type="dxa"/>
          </w:tcPr>
          <w:p w14:paraId="715F00A5" w14:textId="77777777" w:rsidR="000C2F8F" w:rsidRPr="00FA267D" w:rsidRDefault="000C2F8F" w:rsidP="003974C0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 w:rsidRPr="00FA267D">
              <w:rPr>
                <w:rFonts w:ascii="Arial Unicode MS" w:eastAsia="Arial Unicode MS" w:hAnsi="Arial Unicode MS" w:cs="Arial Unicode MS"/>
                <w:sz w:val="15"/>
                <w:szCs w:val="15"/>
              </w:rPr>
              <w:t>medium</w:t>
            </w:r>
          </w:p>
        </w:tc>
      </w:tr>
    </w:tbl>
    <w:p w14:paraId="34801895" w14:textId="77777777" w:rsidR="000C2F8F" w:rsidRDefault="000C2F8F" w:rsidP="000C2F8F">
      <w:r>
        <w:t>Note: A study can be awarded a maximum of one star for each numbered item within the Selection and Outcome categories. A maximum of two stars can be given for Comparability.</w:t>
      </w:r>
    </w:p>
    <w:p w14:paraId="587D22F2" w14:textId="313BE718" w:rsidR="000C2F8F" w:rsidRPr="000C2F8F" w:rsidRDefault="000C2F8F" w:rsidP="000C2F8F">
      <w:pPr>
        <w:rPr>
          <w:rFonts w:hint="eastAsia"/>
        </w:rPr>
      </w:pPr>
      <w:r>
        <w:t></w:t>
      </w:r>
      <w:r>
        <w:tab/>
        <w:t xml:space="preserve">Low, </w:t>
      </w:r>
      <w:r>
        <w:rPr>
          <w:rFonts w:hint="eastAsia"/>
        </w:rPr>
        <w:t>≥</w:t>
      </w:r>
      <w:r>
        <w:t xml:space="preserve">7; medium, 5–7; high, </w:t>
      </w:r>
      <w:r>
        <w:rPr>
          <w:rFonts w:hint="eastAsia"/>
        </w:rPr>
        <w:t>≤</w:t>
      </w:r>
      <w:r>
        <w:t>4</w:t>
      </w:r>
    </w:p>
    <w:sectPr w:rsidR="000C2F8F" w:rsidRPr="000C2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FB33" w14:textId="77777777" w:rsidR="003F759A" w:rsidRDefault="003F759A" w:rsidP="000C2F8F">
      <w:r>
        <w:separator/>
      </w:r>
    </w:p>
  </w:endnote>
  <w:endnote w:type="continuationSeparator" w:id="0">
    <w:p w14:paraId="0C037EAF" w14:textId="77777777" w:rsidR="003F759A" w:rsidRDefault="003F759A" w:rsidP="000C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8887" w14:textId="77777777" w:rsidR="003F759A" w:rsidRDefault="003F759A" w:rsidP="000C2F8F">
      <w:r>
        <w:separator/>
      </w:r>
    </w:p>
  </w:footnote>
  <w:footnote w:type="continuationSeparator" w:id="0">
    <w:p w14:paraId="60433C4A" w14:textId="77777777" w:rsidR="003F759A" w:rsidRDefault="003F759A" w:rsidP="000C2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FD"/>
    <w:rsid w:val="000C2F8F"/>
    <w:rsid w:val="002522FD"/>
    <w:rsid w:val="003F759A"/>
    <w:rsid w:val="0073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79AF1"/>
  <w15:chartTrackingRefBased/>
  <w15:docId w15:val="{EA69655D-D94C-4687-BCF1-7C788EC0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F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2F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2F8F"/>
    <w:rPr>
      <w:sz w:val="18"/>
      <w:szCs w:val="18"/>
    </w:rPr>
  </w:style>
  <w:style w:type="paragraph" w:styleId="a7">
    <w:name w:val="List Paragraph"/>
    <w:basedOn w:val="a"/>
    <w:uiPriority w:val="34"/>
    <w:qFormat/>
    <w:rsid w:val="000C2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FengJunTao</dc:creator>
  <cp:keywords/>
  <dc:description/>
  <cp:lastModifiedBy>FengJunTao</cp:lastModifiedBy>
  <cp:revision>2</cp:revision>
  <dcterms:created xsi:type="dcterms:W3CDTF">2023-06-14T13:25:00Z</dcterms:created>
  <dcterms:modified xsi:type="dcterms:W3CDTF">2023-06-14T13:26:00Z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2023-06-14T13:26:07Z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aa7039e8-963e-4a47-bbea-77af81d03a5a</vt:lpwstr>
  </property>
  <property fmtid="{D5CDD505-2E9C-101B-9397-08002B2CF9AE}" pid="7" name="MSIP_Label_defa4170-0d19-0005-0004-bc88714345d2_ActionId">
    <vt:lpwstr>e88d6188-6c3d-430d-bde3-6e5ff5a8c374</vt:lpwstr>
  </property>
  <property fmtid="{D5CDD505-2E9C-101B-9397-08002B2CF9AE}" pid="8" name="MSIP_Label_defa4170-0d19-0005-0004-bc88714345d2_ContentBits">
    <vt:lpwstr>0</vt:lpwstr>
  </property>
</Properties>
</file>