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26C045" w14:textId="1678F0A0" w:rsidR="007647B9" w:rsidRDefault="00DA646C" w:rsidP="002B412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Sup</w:t>
      </w:r>
      <w:r>
        <w:rPr>
          <w:rFonts w:ascii="Times New Roman" w:hAnsi="Times New Roman" w:cs="Times New Roman"/>
          <w:sz w:val="24"/>
          <w:szCs w:val="24"/>
        </w:rPr>
        <w:t>plement</w:t>
      </w:r>
      <w:r>
        <w:rPr>
          <w:rFonts w:ascii="Times New Roman" w:hAnsi="Times New Roman" w:cs="Times New Roman" w:hint="eastAsia"/>
          <w:sz w:val="24"/>
          <w:szCs w:val="24"/>
        </w:rPr>
        <w:t>ary</w:t>
      </w:r>
      <w:r>
        <w:rPr>
          <w:rFonts w:ascii="Times New Roman" w:hAnsi="Times New Roman" w:cs="Times New Roman"/>
          <w:sz w:val="24"/>
          <w:szCs w:val="24"/>
        </w:rPr>
        <w:t xml:space="preserve"> information</w:t>
      </w:r>
      <w:r w:rsidR="008B0915">
        <w:rPr>
          <w:rFonts w:ascii="Times New Roman" w:hAnsi="Times New Roman" w:cs="Times New Roman"/>
          <w:sz w:val="24"/>
          <w:szCs w:val="24"/>
        </w:rPr>
        <w:tab/>
      </w:r>
    </w:p>
    <w:p w14:paraId="38B3F5E1" w14:textId="3021BEA7" w:rsidR="008B0915" w:rsidRPr="007020FC" w:rsidRDefault="008B0915" w:rsidP="002B4124">
      <w:pPr>
        <w:spacing w:line="48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7020FC"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  <w:t xml:space="preserve">Supplementary Table 1 </w:t>
      </w:r>
      <w:r w:rsidRPr="00EB5EEC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Matched influenza virus numbers to the H1 and H3 primers and probes of the RRT-PCR as searched by the BLAST tool</w:t>
      </w:r>
      <w:r w:rsidRPr="00EB5EEC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vertAlign w:val="superscript"/>
        </w:rPr>
        <w:t>†</w:t>
      </w:r>
    </w:p>
    <w:tbl>
      <w:tblPr>
        <w:tblStyle w:val="a9"/>
        <w:tblW w:w="85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4"/>
        <w:gridCol w:w="1797"/>
        <w:gridCol w:w="838"/>
        <w:gridCol w:w="838"/>
        <w:gridCol w:w="774"/>
        <w:gridCol w:w="774"/>
        <w:gridCol w:w="774"/>
        <w:gridCol w:w="774"/>
        <w:gridCol w:w="863"/>
      </w:tblGrid>
      <w:tr w:rsidR="002228FA" w:rsidRPr="002228FA" w14:paraId="3F1859B7" w14:textId="77777777" w:rsidTr="00B718CA">
        <w:trPr>
          <w:trHeight w:val="507"/>
        </w:trPr>
        <w:tc>
          <w:tcPr>
            <w:tcW w:w="1104" w:type="dxa"/>
            <w:vMerge w:val="restart"/>
            <w:tcBorders>
              <w:top w:val="single" w:sz="4" w:space="0" w:color="auto"/>
            </w:tcBorders>
            <w:vAlign w:val="center"/>
          </w:tcPr>
          <w:p w14:paraId="79E1FC31" w14:textId="77777777" w:rsidR="008B0915" w:rsidRPr="00EB5EEC" w:rsidRDefault="008B0915" w:rsidP="0015013E">
            <w:pPr>
              <w:ind w:firstLineChars="50" w:firstLine="12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bookmarkStart w:id="0" w:name="_Hlk65952920"/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HA</w:t>
            </w:r>
          </w:p>
          <w:p w14:paraId="6D94ECFE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subtype</w:t>
            </w:r>
          </w:p>
        </w:tc>
        <w:tc>
          <w:tcPr>
            <w:tcW w:w="1797" w:type="dxa"/>
            <w:vMerge w:val="restart"/>
            <w:tcBorders>
              <w:top w:val="single" w:sz="4" w:space="0" w:color="auto"/>
            </w:tcBorders>
            <w:vAlign w:val="center"/>
          </w:tcPr>
          <w:p w14:paraId="0554BC98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Primer/Probe</w:t>
            </w:r>
          </w:p>
        </w:tc>
        <w:tc>
          <w:tcPr>
            <w:tcW w:w="5635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D3D17D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Matched influenza virus numbers</w:t>
            </w:r>
          </w:p>
        </w:tc>
      </w:tr>
      <w:tr w:rsidR="002228FA" w:rsidRPr="002228FA" w14:paraId="3FD05EC4" w14:textId="77777777" w:rsidTr="002228FA">
        <w:trPr>
          <w:trHeight w:val="559"/>
        </w:trPr>
        <w:tc>
          <w:tcPr>
            <w:tcW w:w="1104" w:type="dxa"/>
            <w:vMerge/>
            <w:tcBorders>
              <w:bottom w:val="single" w:sz="4" w:space="0" w:color="auto"/>
            </w:tcBorders>
            <w:vAlign w:val="center"/>
          </w:tcPr>
          <w:p w14:paraId="243688E4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97" w:type="dxa"/>
            <w:vMerge/>
            <w:tcBorders>
              <w:bottom w:val="single" w:sz="4" w:space="0" w:color="auto"/>
            </w:tcBorders>
            <w:vAlign w:val="center"/>
          </w:tcPr>
          <w:p w14:paraId="5B2E4A46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E44928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N1</w:t>
            </w:r>
          </w:p>
        </w:tc>
        <w:tc>
          <w:tcPr>
            <w:tcW w:w="8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D74252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N2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1825E0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N3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71ACEF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N4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042D41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N5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490E0C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N6</w:t>
            </w:r>
          </w:p>
        </w:tc>
        <w:tc>
          <w:tcPr>
            <w:tcW w:w="8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ACD0BA" w14:textId="77777777" w:rsidR="008B0915" w:rsidRPr="00AF6101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AF6101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Total</w:t>
            </w:r>
          </w:p>
        </w:tc>
      </w:tr>
      <w:tr w:rsidR="002228FA" w:rsidRPr="002228FA" w14:paraId="5EB12C0A" w14:textId="77777777" w:rsidTr="002228FA">
        <w:trPr>
          <w:trHeight w:val="507"/>
        </w:trPr>
        <w:tc>
          <w:tcPr>
            <w:tcW w:w="1104" w:type="dxa"/>
            <w:vMerge w:val="restart"/>
            <w:tcBorders>
              <w:top w:val="single" w:sz="4" w:space="0" w:color="auto"/>
            </w:tcBorders>
            <w:vAlign w:val="center"/>
          </w:tcPr>
          <w:p w14:paraId="37D04DF6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  <w:p w14:paraId="4D4B9827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H1</w:t>
            </w:r>
          </w:p>
        </w:tc>
        <w:tc>
          <w:tcPr>
            <w:tcW w:w="1797" w:type="dxa"/>
            <w:tcBorders>
              <w:top w:val="single" w:sz="4" w:space="0" w:color="auto"/>
            </w:tcBorders>
            <w:vAlign w:val="center"/>
          </w:tcPr>
          <w:p w14:paraId="6818FC70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Forward primer</w:t>
            </w:r>
          </w:p>
        </w:tc>
        <w:tc>
          <w:tcPr>
            <w:tcW w:w="838" w:type="dxa"/>
            <w:tcBorders>
              <w:top w:val="single" w:sz="4" w:space="0" w:color="auto"/>
            </w:tcBorders>
            <w:vAlign w:val="center"/>
          </w:tcPr>
          <w:p w14:paraId="21994096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2091</w:t>
            </w:r>
          </w:p>
        </w:tc>
        <w:tc>
          <w:tcPr>
            <w:tcW w:w="838" w:type="dxa"/>
            <w:tcBorders>
              <w:top w:val="single" w:sz="4" w:space="0" w:color="auto"/>
            </w:tcBorders>
            <w:vAlign w:val="center"/>
          </w:tcPr>
          <w:p w14:paraId="0F4F838D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645</w:t>
            </w:r>
          </w:p>
        </w:tc>
        <w:tc>
          <w:tcPr>
            <w:tcW w:w="774" w:type="dxa"/>
            <w:tcBorders>
              <w:top w:val="single" w:sz="4" w:space="0" w:color="auto"/>
            </w:tcBorders>
            <w:vAlign w:val="center"/>
          </w:tcPr>
          <w:p w14:paraId="78766F84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28</w:t>
            </w:r>
          </w:p>
        </w:tc>
        <w:tc>
          <w:tcPr>
            <w:tcW w:w="774" w:type="dxa"/>
            <w:tcBorders>
              <w:top w:val="single" w:sz="4" w:space="0" w:color="auto"/>
            </w:tcBorders>
            <w:vAlign w:val="center"/>
          </w:tcPr>
          <w:p w14:paraId="72A11D1A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774" w:type="dxa"/>
            <w:tcBorders>
              <w:top w:val="single" w:sz="4" w:space="0" w:color="auto"/>
            </w:tcBorders>
            <w:vAlign w:val="center"/>
          </w:tcPr>
          <w:p w14:paraId="29E65BEB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774" w:type="dxa"/>
            <w:tcBorders>
              <w:top w:val="single" w:sz="4" w:space="0" w:color="auto"/>
            </w:tcBorders>
            <w:vAlign w:val="center"/>
          </w:tcPr>
          <w:p w14:paraId="05610863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863" w:type="dxa"/>
            <w:tcBorders>
              <w:top w:val="single" w:sz="4" w:space="0" w:color="auto"/>
            </w:tcBorders>
            <w:vAlign w:val="center"/>
          </w:tcPr>
          <w:p w14:paraId="768B7269" w14:textId="77777777" w:rsidR="008B0915" w:rsidRPr="00AF6101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AF6101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2777</w:t>
            </w:r>
          </w:p>
        </w:tc>
      </w:tr>
      <w:tr w:rsidR="002228FA" w:rsidRPr="002228FA" w14:paraId="5DEB7DED" w14:textId="77777777" w:rsidTr="002228FA">
        <w:trPr>
          <w:trHeight w:val="533"/>
        </w:trPr>
        <w:tc>
          <w:tcPr>
            <w:tcW w:w="1104" w:type="dxa"/>
            <w:vMerge/>
            <w:vAlign w:val="center"/>
          </w:tcPr>
          <w:p w14:paraId="4DF36C40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97" w:type="dxa"/>
            <w:vAlign w:val="center"/>
          </w:tcPr>
          <w:p w14:paraId="0E8CAD51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Reverse primer</w:t>
            </w:r>
          </w:p>
        </w:tc>
        <w:tc>
          <w:tcPr>
            <w:tcW w:w="838" w:type="dxa"/>
            <w:vAlign w:val="center"/>
          </w:tcPr>
          <w:p w14:paraId="45E1BCA4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963</w:t>
            </w:r>
          </w:p>
        </w:tc>
        <w:tc>
          <w:tcPr>
            <w:tcW w:w="838" w:type="dxa"/>
            <w:vAlign w:val="center"/>
          </w:tcPr>
          <w:p w14:paraId="000EAC9C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145</w:t>
            </w:r>
          </w:p>
        </w:tc>
        <w:tc>
          <w:tcPr>
            <w:tcW w:w="774" w:type="dxa"/>
            <w:vAlign w:val="center"/>
          </w:tcPr>
          <w:p w14:paraId="4E0085A8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N/A</w:t>
            </w:r>
          </w:p>
        </w:tc>
        <w:tc>
          <w:tcPr>
            <w:tcW w:w="774" w:type="dxa"/>
            <w:vAlign w:val="center"/>
          </w:tcPr>
          <w:p w14:paraId="05146596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N/A</w:t>
            </w:r>
          </w:p>
        </w:tc>
        <w:tc>
          <w:tcPr>
            <w:tcW w:w="774" w:type="dxa"/>
            <w:vAlign w:val="center"/>
          </w:tcPr>
          <w:p w14:paraId="7A89EDA7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N/A</w:t>
            </w:r>
          </w:p>
        </w:tc>
        <w:tc>
          <w:tcPr>
            <w:tcW w:w="774" w:type="dxa"/>
            <w:vAlign w:val="center"/>
          </w:tcPr>
          <w:p w14:paraId="186F086C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N/A</w:t>
            </w:r>
          </w:p>
        </w:tc>
        <w:tc>
          <w:tcPr>
            <w:tcW w:w="863" w:type="dxa"/>
            <w:vAlign w:val="center"/>
          </w:tcPr>
          <w:p w14:paraId="76A2C84F" w14:textId="77777777" w:rsidR="008B0915" w:rsidRPr="00AF6101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AF6101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1108</w:t>
            </w:r>
          </w:p>
        </w:tc>
      </w:tr>
      <w:tr w:rsidR="002228FA" w:rsidRPr="002228FA" w14:paraId="336628C0" w14:textId="77777777" w:rsidTr="002228FA">
        <w:trPr>
          <w:trHeight w:val="533"/>
        </w:trPr>
        <w:tc>
          <w:tcPr>
            <w:tcW w:w="1104" w:type="dxa"/>
            <w:vMerge/>
            <w:vAlign w:val="center"/>
          </w:tcPr>
          <w:p w14:paraId="2E4AD76C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97" w:type="dxa"/>
            <w:vAlign w:val="center"/>
          </w:tcPr>
          <w:p w14:paraId="08371A69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Probe</w:t>
            </w:r>
          </w:p>
        </w:tc>
        <w:tc>
          <w:tcPr>
            <w:tcW w:w="838" w:type="dxa"/>
            <w:vAlign w:val="center"/>
          </w:tcPr>
          <w:p w14:paraId="44FCEF42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4785</w:t>
            </w:r>
          </w:p>
        </w:tc>
        <w:tc>
          <w:tcPr>
            <w:tcW w:w="838" w:type="dxa"/>
            <w:vAlign w:val="center"/>
          </w:tcPr>
          <w:p w14:paraId="36738AE6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124</w:t>
            </w:r>
          </w:p>
        </w:tc>
        <w:tc>
          <w:tcPr>
            <w:tcW w:w="774" w:type="dxa"/>
            <w:vAlign w:val="center"/>
          </w:tcPr>
          <w:p w14:paraId="09A45DD1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11</w:t>
            </w:r>
          </w:p>
        </w:tc>
        <w:tc>
          <w:tcPr>
            <w:tcW w:w="774" w:type="dxa"/>
            <w:vAlign w:val="center"/>
          </w:tcPr>
          <w:p w14:paraId="01AFE09D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N/A</w:t>
            </w:r>
          </w:p>
        </w:tc>
        <w:tc>
          <w:tcPr>
            <w:tcW w:w="774" w:type="dxa"/>
            <w:vAlign w:val="center"/>
          </w:tcPr>
          <w:p w14:paraId="534897AA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N/A</w:t>
            </w:r>
          </w:p>
        </w:tc>
        <w:tc>
          <w:tcPr>
            <w:tcW w:w="774" w:type="dxa"/>
            <w:vAlign w:val="center"/>
          </w:tcPr>
          <w:p w14:paraId="22EF2A2E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N/A</w:t>
            </w:r>
          </w:p>
        </w:tc>
        <w:tc>
          <w:tcPr>
            <w:tcW w:w="863" w:type="dxa"/>
            <w:vAlign w:val="center"/>
          </w:tcPr>
          <w:p w14:paraId="4C31F3E3" w14:textId="77777777" w:rsidR="008B0915" w:rsidRPr="00AF6101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AF6101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4920</w:t>
            </w:r>
          </w:p>
        </w:tc>
      </w:tr>
      <w:tr w:rsidR="002228FA" w:rsidRPr="002228FA" w14:paraId="272E6F43" w14:textId="77777777" w:rsidTr="002228FA">
        <w:trPr>
          <w:trHeight w:val="507"/>
        </w:trPr>
        <w:tc>
          <w:tcPr>
            <w:tcW w:w="1104" w:type="dxa"/>
            <w:vMerge w:val="restart"/>
            <w:vAlign w:val="center"/>
          </w:tcPr>
          <w:p w14:paraId="71362D0E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  <w:p w14:paraId="466B7416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H3</w:t>
            </w:r>
          </w:p>
        </w:tc>
        <w:tc>
          <w:tcPr>
            <w:tcW w:w="1797" w:type="dxa"/>
            <w:vAlign w:val="center"/>
          </w:tcPr>
          <w:p w14:paraId="23514F87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Forward primer</w:t>
            </w:r>
          </w:p>
        </w:tc>
        <w:tc>
          <w:tcPr>
            <w:tcW w:w="838" w:type="dxa"/>
            <w:vAlign w:val="center"/>
          </w:tcPr>
          <w:p w14:paraId="0164B83A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838" w:type="dxa"/>
            <w:vAlign w:val="center"/>
          </w:tcPr>
          <w:p w14:paraId="0FFC35CE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4815</w:t>
            </w:r>
          </w:p>
        </w:tc>
        <w:tc>
          <w:tcPr>
            <w:tcW w:w="774" w:type="dxa"/>
            <w:vAlign w:val="center"/>
          </w:tcPr>
          <w:p w14:paraId="59A8E42C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774" w:type="dxa"/>
            <w:vAlign w:val="center"/>
          </w:tcPr>
          <w:p w14:paraId="3F464423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N/A</w:t>
            </w:r>
          </w:p>
        </w:tc>
        <w:tc>
          <w:tcPr>
            <w:tcW w:w="774" w:type="dxa"/>
            <w:vAlign w:val="center"/>
          </w:tcPr>
          <w:p w14:paraId="05B0D446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N/A</w:t>
            </w:r>
          </w:p>
        </w:tc>
        <w:tc>
          <w:tcPr>
            <w:tcW w:w="774" w:type="dxa"/>
            <w:vAlign w:val="center"/>
          </w:tcPr>
          <w:p w14:paraId="6BCC47EF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N/A</w:t>
            </w:r>
          </w:p>
        </w:tc>
        <w:tc>
          <w:tcPr>
            <w:tcW w:w="863" w:type="dxa"/>
            <w:vAlign w:val="center"/>
          </w:tcPr>
          <w:p w14:paraId="16F0991B" w14:textId="77777777" w:rsidR="008B0915" w:rsidRPr="00AF6101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AF6101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4825</w:t>
            </w:r>
          </w:p>
        </w:tc>
      </w:tr>
      <w:tr w:rsidR="002228FA" w:rsidRPr="002228FA" w14:paraId="433251FD" w14:textId="77777777" w:rsidTr="002228FA">
        <w:trPr>
          <w:trHeight w:val="559"/>
        </w:trPr>
        <w:tc>
          <w:tcPr>
            <w:tcW w:w="1104" w:type="dxa"/>
            <w:vMerge/>
            <w:vAlign w:val="center"/>
          </w:tcPr>
          <w:p w14:paraId="3B6F17A2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97" w:type="dxa"/>
            <w:vAlign w:val="center"/>
          </w:tcPr>
          <w:p w14:paraId="2FEA87D5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Reverse primer</w:t>
            </w:r>
          </w:p>
        </w:tc>
        <w:tc>
          <w:tcPr>
            <w:tcW w:w="838" w:type="dxa"/>
            <w:vAlign w:val="center"/>
          </w:tcPr>
          <w:p w14:paraId="5369B205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838" w:type="dxa"/>
            <w:vAlign w:val="center"/>
          </w:tcPr>
          <w:p w14:paraId="18DF5A23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4357</w:t>
            </w:r>
          </w:p>
        </w:tc>
        <w:tc>
          <w:tcPr>
            <w:tcW w:w="774" w:type="dxa"/>
            <w:vAlign w:val="center"/>
          </w:tcPr>
          <w:p w14:paraId="4B91AEE8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774" w:type="dxa"/>
            <w:vAlign w:val="center"/>
          </w:tcPr>
          <w:p w14:paraId="2EEFCAFB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N/A</w:t>
            </w:r>
          </w:p>
        </w:tc>
        <w:tc>
          <w:tcPr>
            <w:tcW w:w="774" w:type="dxa"/>
            <w:vAlign w:val="center"/>
          </w:tcPr>
          <w:p w14:paraId="404ACAB6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N/A</w:t>
            </w:r>
          </w:p>
        </w:tc>
        <w:tc>
          <w:tcPr>
            <w:tcW w:w="774" w:type="dxa"/>
            <w:vAlign w:val="center"/>
          </w:tcPr>
          <w:p w14:paraId="104F858E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N/A</w:t>
            </w:r>
          </w:p>
        </w:tc>
        <w:tc>
          <w:tcPr>
            <w:tcW w:w="863" w:type="dxa"/>
            <w:vAlign w:val="center"/>
          </w:tcPr>
          <w:p w14:paraId="55C35F78" w14:textId="77777777" w:rsidR="008B0915" w:rsidRPr="00AF6101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AF6101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4363</w:t>
            </w:r>
          </w:p>
        </w:tc>
      </w:tr>
      <w:tr w:rsidR="002228FA" w:rsidRPr="002228FA" w14:paraId="4857DA0D" w14:textId="77777777" w:rsidTr="002228FA">
        <w:trPr>
          <w:trHeight w:val="533"/>
        </w:trPr>
        <w:tc>
          <w:tcPr>
            <w:tcW w:w="1104" w:type="dxa"/>
            <w:vMerge/>
            <w:tcBorders>
              <w:bottom w:val="single" w:sz="4" w:space="0" w:color="auto"/>
            </w:tcBorders>
            <w:vAlign w:val="center"/>
          </w:tcPr>
          <w:p w14:paraId="7C80371D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97" w:type="dxa"/>
            <w:tcBorders>
              <w:bottom w:val="single" w:sz="4" w:space="0" w:color="auto"/>
            </w:tcBorders>
            <w:vAlign w:val="center"/>
          </w:tcPr>
          <w:p w14:paraId="5DCF5C6D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Probe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7719BC67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26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315DB075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4303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vAlign w:val="center"/>
          </w:tcPr>
          <w:p w14:paraId="724747DA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vAlign w:val="center"/>
          </w:tcPr>
          <w:p w14:paraId="339C5DBF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N/A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vAlign w:val="center"/>
          </w:tcPr>
          <w:p w14:paraId="10C5436E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N/A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vAlign w:val="center"/>
          </w:tcPr>
          <w:p w14:paraId="7AB87AAB" w14:textId="77777777" w:rsidR="008B0915" w:rsidRPr="00EB5EEC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EB5EEC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N/A</w:t>
            </w:r>
          </w:p>
        </w:tc>
        <w:tc>
          <w:tcPr>
            <w:tcW w:w="863" w:type="dxa"/>
            <w:tcBorders>
              <w:bottom w:val="single" w:sz="4" w:space="0" w:color="auto"/>
            </w:tcBorders>
            <w:vAlign w:val="center"/>
          </w:tcPr>
          <w:p w14:paraId="1246FCAB" w14:textId="77777777" w:rsidR="008B0915" w:rsidRPr="00AF6101" w:rsidRDefault="008B0915" w:rsidP="0015013E">
            <w:pPr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AF6101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4340</w:t>
            </w:r>
          </w:p>
        </w:tc>
      </w:tr>
    </w:tbl>
    <w:bookmarkEnd w:id="0"/>
    <w:p w14:paraId="4B0358FF" w14:textId="1F8FDEB2" w:rsidR="008B0915" w:rsidRPr="00EB5EEC" w:rsidRDefault="002228FA" w:rsidP="002B4124">
      <w:pPr>
        <w:spacing w:line="48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 w:rsidRPr="00EB5EEC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vertAlign w:val="superscript"/>
        </w:rPr>
        <w:t>†</w:t>
      </w:r>
      <w:r w:rsidRPr="00EB5EEC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vertAlign w:val="superscript"/>
        </w:rPr>
        <w:t xml:space="preserve"> </w:t>
      </w:r>
      <w:r w:rsidRPr="00EB5EEC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Searching parameters were defined as default except the one of “Max target sequences</w:t>
      </w:r>
      <w:r w:rsidRPr="00EB5EEC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”</w:t>
      </w:r>
      <w:r w:rsidRPr="00EB5EEC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set to 5000; N/A: Not applicable.</w:t>
      </w:r>
    </w:p>
    <w:p w14:paraId="4AF6BF47" w14:textId="6375EC08" w:rsidR="002228FA" w:rsidRPr="00EB5EEC" w:rsidRDefault="008B0915">
      <w:pPr>
        <w:widowControl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Pr="007020FC">
        <w:rPr>
          <w:rFonts w:ascii="Times New Roman" w:hAnsi="Times New Roman" w:cs="Times New Roman"/>
          <w:color w:val="FF0000"/>
          <w:sz w:val="24"/>
          <w:szCs w:val="24"/>
        </w:rPr>
        <w:lastRenderedPageBreak/>
        <w:t>S</w:t>
      </w:r>
      <w:r w:rsidR="005D3370" w:rsidRPr="007020FC">
        <w:rPr>
          <w:rFonts w:ascii="Times New Roman" w:hAnsi="Times New Roman" w:cs="Times New Roman"/>
          <w:color w:val="FF0000"/>
          <w:sz w:val="24"/>
          <w:szCs w:val="24"/>
        </w:rPr>
        <w:t>upplementary Fig. S1:</w:t>
      </w:r>
      <w:r w:rsidR="005D3370" w:rsidRPr="00EB5E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1E55" w:rsidRPr="00EB5EEC">
        <w:rPr>
          <w:rFonts w:ascii="Times New Roman" w:hAnsi="Times New Roman" w:cs="Times New Roman"/>
          <w:color w:val="000000" w:themeColor="text1"/>
          <w:sz w:val="24"/>
          <w:szCs w:val="24"/>
        </w:rPr>
        <w:t>Amplification plots and the corresponding standard curves of the duplex TaqMan-MGB RRT-PCR of EA H1N1 or Pdm09 H1N1 and HL H3N2 SIVs by 10-fold serial dilutions of 5</w:t>
      </w:r>
      <w:r w:rsidR="008C1E55" w:rsidRPr="00EB5EE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×</w:t>
      </w:r>
      <w:r w:rsidR="008C1E55" w:rsidRPr="00EB5EEC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="008C1E55" w:rsidRPr="00EB5EE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5 </w:t>
      </w:r>
      <w:r w:rsidR="008C1E55" w:rsidRPr="00EB5EEC">
        <w:rPr>
          <w:rFonts w:ascii="Times New Roman" w:hAnsi="Times New Roman" w:cs="Times New Roman"/>
          <w:color w:val="000000" w:themeColor="text1"/>
          <w:sz w:val="24"/>
          <w:szCs w:val="24"/>
        </w:rPr>
        <w:t>copies/</w:t>
      </w:r>
      <w:r w:rsidR="008C1E55" w:rsidRPr="00EB5EE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μ</w:t>
      </w:r>
      <w:r w:rsidR="008C1E55" w:rsidRPr="00EB5EEC">
        <w:rPr>
          <w:rFonts w:ascii="Times New Roman" w:hAnsi="Times New Roman" w:cs="Times New Roman"/>
          <w:color w:val="000000" w:themeColor="text1"/>
          <w:sz w:val="24"/>
          <w:szCs w:val="24"/>
        </w:rPr>
        <w:t>L HA plasmids. (Panel A) Duplex detection of HA genes of EA H1N1 and HL H3N2. The linear expression was y=-3.38x+36.106 (Efficiency=97.640%, R</w:t>
      </w:r>
      <w:r w:rsidR="008C1E55" w:rsidRPr="00EB5EE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8C1E55" w:rsidRPr="00EB5EEC">
        <w:rPr>
          <w:rFonts w:ascii="Times New Roman" w:hAnsi="Times New Roman" w:cs="Times New Roman"/>
          <w:color w:val="000000" w:themeColor="text1"/>
          <w:sz w:val="24"/>
          <w:szCs w:val="24"/>
        </w:rPr>
        <w:t>=0.999) for EA H1N1 and y =-3.335x+37.406 (Efficiency=99.470%, R</w:t>
      </w:r>
      <w:r w:rsidR="008C1E55" w:rsidRPr="00EB5EE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8C1E55" w:rsidRPr="00EB5EEC">
        <w:rPr>
          <w:rFonts w:ascii="Times New Roman" w:hAnsi="Times New Roman" w:cs="Times New Roman"/>
          <w:color w:val="000000" w:themeColor="text1"/>
          <w:sz w:val="24"/>
          <w:szCs w:val="24"/>
        </w:rPr>
        <w:t>=0.999) for HL H3N2, respectively. (Panel B) Duplex detection of HA genes of Pdm09 H1N1 and HL H3N2. The linear expression was y=-3.301x+35.933 (Efficiency=100.889%, R</w:t>
      </w:r>
      <w:r w:rsidR="008C1E55" w:rsidRPr="00EB5EE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8C1E55" w:rsidRPr="00EB5EEC">
        <w:rPr>
          <w:rFonts w:ascii="Times New Roman" w:hAnsi="Times New Roman" w:cs="Times New Roman"/>
          <w:color w:val="000000" w:themeColor="text1"/>
          <w:sz w:val="24"/>
          <w:szCs w:val="24"/>
        </w:rPr>
        <w:t>=0.997) for Pdm09 H1N1 and y=3.301x+35.977 (Efficiency=100.885%, R</w:t>
      </w:r>
      <w:r w:rsidR="008C1E55" w:rsidRPr="00EB5EE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8C1E55" w:rsidRPr="00EB5EEC">
        <w:rPr>
          <w:rFonts w:ascii="Times New Roman" w:hAnsi="Times New Roman" w:cs="Times New Roman"/>
          <w:color w:val="000000" w:themeColor="text1"/>
          <w:sz w:val="24"/>
          <w:szCs w:val="24"/>
        </w:rPr>
        <w:t>=0.996) for HL H3N2, respectively</w:t>
      </w:r>
      <w:r w:rsidR="002228FA" w:rsidRPr="00EB5EE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B05582A" w14:textId="741C1DE8" w:rsidR="008C1E55" w:rsidRDefault="002228FA" w:rsidP="007020FC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020FC"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inline distT="0" distB="0" distL="0" distR="0" wp14:anchorId="23B90897" wp14:editId="5C01E957">
            <wp:extent cx="4112157" cy="4999990"/>
            <wp:effectExtent l="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83" cy="5037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20F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8C1E55">
        <w:rPr>
          <w:rFonts w:ascii="Times New Roman" w:hAnsi="Times New Roman" w:cs="Times New Roman"/>
          <w:sz w:val="24"/>
          <w:szCs w:val="24"/>
        </w:rPr>
        <w:br w:type="page"/>
      </w:r>
    </w:p>
    <w:p w14:paraId="7B32A163" w14:textId="6E51F4EE" w:rsidR="008C1E55" w:rsidRPr="00EB5EEC" w:rsidRDefault="008C1E55" w:rsidP="008C1E55">
      <w:pPr>
        <w:widowControl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020FC">
        <w:rPr>
          <w:rFonts w:ascii="Times New Roman" w:hAnsi="Times New Roman" w:cs="Times New Roman"/>
          <w:color w:val="FF0000"/>
          <w:sz w:val="24"/>
          <w:szCs w:val="24"/>
        </w:rPr>
        <w:lastRenderedPageBreak/>
        <w:t>Supplementary Fig</w:t>
      </w:r>
      <w:r w:rsidR="008B0915" w:rsidRPr="007020FC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Pr="007020FC">
        <w:rPr>
          <w:rFonts w:ascii="Times New Roman" w:hAnsi="Times New Roman" w:cs="Times New Roman"/>
          <w:color w:val="FF0000"/>
          <w:sz w:val="24"/>
          <w:szCs w:val="24"/>
        </w:rPr>
        <w:t xml:space="preserve"> S2: </w:t>
      </w:r>
      <w:r w:rsidRPr="00EB5EEC">
        <w:rPr>
          <w:rFonts w:ascii="Times New Roman" w:hAnsi="Times New Roman" w:cs="Times New Roman"/>
          <w:color w:val="000000" w:themeColor="text1"/>
          <w:sz w:val="24"/>
          <w:szCs w:val="24"/>
        </w:rPr>
        <w:t>Detection limit of the duplex TaqMan-MGB RRT-PCR for different H1 and H3 subtype SIV strains. Each of the tested viruses including 4 EA H1N1 (F15, SG03, ZG14, and ZG16), 3 Pdm09 H1N1 (JS38, JS48 and JS285) and 2 HL H3N2 (SZ14, YC44) was succumbed to 10-fold serial dilutions according to EID</w:t>
      </w:r>
      <w:r w:rsidRPr="00EB5EEC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50</w:t>
      </w:r>
      <w:r w:rsidRPr="00EB5E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value. The lowest virus concentration as expressed in EID</w:t>
      </w:r>
      <w:r w:rsidRPr="00EB5EEC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50</w:t>
      </w:r>
      <w:r w:rsidRPr="00EB5E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that could still acquire regular amplification plot was defined as the detection limit.</w:t>
      </w:r>
    </w:p>
    <w:p w14:paraId="7B1F5CE9" w14:textId="5DFC3F60" w:rsidR="008C1E55" w:rsidRDefault="008C1E55" w:rsidP="007020FC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C1E5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8B4D7F8" wp14:editId="382592F1">
            <wp:extent cx="5872163" cy="352428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078" cy="3526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5AAEF68" w14:textId="40173DF5" w:rsidR="007647B9" w:rsidRDefault="00DA646C" w:rsidP="002B4124">
      <w:pPr>
        <w:spacing w:line="480" w:lineRule="auto"/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S</w:t>
      </w:r>
      <w:r>
        <w:rPr>
          <w:rFonts w:ascii="Times New Roman" w:hAnsi="Times New Roman" w:cs="Times New Roman"/>
          <w:sz w:val="24"/>
          <w:szCs w:val="24"/>
        </w:rPr>
        <w:t>upplement</w:t>
      </w:r>
      <w:r>
        <w:rPr>
          <w:rFonts w:ascii="Times New Roman" w:hAnsi="Times New Roman" w:cs="Times New Roman" w:hint="eastAsia"/>
          <w:sz w:val="24"/>
          <w:szCs w:val="24"/>
        </w:rPr>
        <w:t>ary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</w:t>
      </w:r>
      <w:r w:rsidR="008B091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C1E55">
        <w:rPr>
          <w:rFonts w:ascii="Times New Roman" w:hAnsi="Times New Roman" w:cs="Times New Roman"/>
          <w:sz w:val="24"/>
          <w:szCs w:val="24"/>
        </w:rPr>
        <w:t>S3</w:t>
      </w:r>
      <w:r>
        <w:rPr>
          <w:rFonts w:ascii="Times New Roman" w:hAnsi="Times New Roman" w:cs="Times New Roman"/>
          <w:sz w:val="24"/>
          <w:szCs w:val="24"/>
        </w:rPr>
        <w:t xml:space="preserve">: Specificity test of the </w:t>
      </w:r>
      <w:r w:rsidR="00557BCA" w:rsidRPr="00557BCA">
        <w:rPr>
          <w:rFonts w:ascii="Times New Roman" w:hAnsi="Times New Roman" w:cs="Times New Roman"/>
          <w:sz w:val="24"/>
          <w:szCs w:val="24"/>
        </w:rPr>
        <w:t>H1 and H3 duplex RRT-PCR assay</w:t>
      </w:r>
      <w:r w:rsidR="00557BCA">
        <w:rPr>
          <w:rFonts w:ascii="Times New Roman" w:hAnsi="Times New Roman" w:cs="Times New Roman" w:hint="eastAsia"/>
          <w:sz w:val="24"/>
          <w:szCs w:val="24"/>
        </w:rPr>
        <w:t>.</w:t>
      </w:r>
      <w:r w:rsidR="00557B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57BCA">
        <w:rPr>
          <w:rFonts w:ascii="Times New Roman" w:hAnsi="Times New Roman" w:cs="Times New Roman"/>
          <w:sz w:val="24"/>
          <w:szCs w:val="24"/>
        </w:rPr>
        <w:t xml:space="preserve">Pathogens of H1 subtype swine influenza virus (SIV), H3 subtype SIV, </w:t>
      </w:r>
      <w:r>
        <w:rPr>
          <w:rFonts w:ascii="Times New Roman" w:hAnsi="Times New Roman" w:cs="Times New Roman" w:hint="eastAsia"/>
          <w:sz w:val="24"/>
          <w:szCs w:val="24"/>
        </w:rPr>
        <w:t>classical swine fever virus (C</w:t>
      </w:r>
      <w:r>
        <w:rPr>
          <w:rFonts w:ascii="Times New Roman" w:hAnsi="Times New Roman" w:cs="Times New Roman"/>
          <w:sz w:val="24"/>
          <w:szCs w:val="24"/>
        </w:rPr>
        <w:t>SFV</w:t>
      </w:r>
      <w:r>
        <w:rPr>
          <w:rFonts w:ascii="Times New Roman" w:hAnsi="Times New Roman" w:cs="Times New Roman" w:hint="eastAsia"/>
          <w:sz w:val="24"/>
          <w:szCs w:val="24"/>
        </w:rPr>
        <w:t>), pseudorabies virus (</w:t>
      </w:r>
      <w:r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 w:hint="eastAsia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 w:hint="eastAsia"/>
          <w:sz w:val="24"/>
          <w:szCs w:val="24"/>
        </w:rPr>
        <w:t>), porcine reproductive and respiratory syndrome virus (</w:t>
      </w:r>
      <w:r>
        <w:rPr>
          <w:rFonts w:ascii="Times New Roman" w:hAnsi="Times New Roman" w:cs="Times New Roman"/>
          <w:sz w:val="24"/>
          <w:szCs w:val="24"/>
        </w:rPr>
        <w:t>PRRS</w:t>
      </w:r>
      <w:r>
        <w:rPr>
          <w:rFonts w:ascii="Times New Roman" w:hAnsi="Times New Roman" w:cs="Times New Roman" w:hint="eastAsia"/>
          <w:sz w:val="24"/>
          <w:szCs w:val="24"/>
        </w:rPr>
        <w:t>V), porcine circovirus 2 (</w:t>
      </w:r>
      <w:r>
        <w:rPr>
          <w:rFonts w:ascii="Times New Roman" w:hAnsi="Times New Roman" w:cs="Times New Roman"/>
          <w:sz w:val="24"/>
          <w:szCs w:val="24"/>
        </w:rPr>
        <w:t>PCV2</w:t>
      </w:r>
      <w:r>
        <w:rPr>
          <w:rFonts w:ascii="Times New Roman" w:hAnsi="Times New Roman" w:cs="Times New Roman" w:hint="eastAsia"/>
          <w:sz w:val="24"/>
          <w:szCs w:val="24"/>
        </w:rPr>
        <w:t>), porcine epidemic diarrhea virus (</w:t>
      </w:r>
      <w:r>
        <w:rPr>
          <w:rFonts w:ascii="Times New Roman" w:hAnsi="Times New Roman" w:cs="Times New Roman"/>
          <w:sz w:val="24"/>
          <w:szCs w:val="24"/>
        </w:rPr>
        <w:t>PEDV</w:t>
      </w:r>
      <w:r>
        <w:rPr>
          <w:rFonts w:ascii="Times New Roman" w:hAnsi="Times New Roman" w:cs="Times New Roman" w:hint="eastAsia"/>
          <w:sz w:val="24"/>
          <w:szCs w:val="24"/>
        </w:rPr>
        <w:t>) and porcine parvovirus (</w:t>
      </w:r>
      <w:r>
        <w:rPr>
          <w:rFonts w:ascii="Times New Roman" w:hAnsi="Times New Roman" w:cs="Times New Roman"/>
          <w:sz w:val="24"/>
          <w:szCs w:val="24"/>
        </w:rPr>
        <w:t>PPV</w:t>
      </w:r>
      <w:r>
        <w:rPr>
          <w:rFonts w:ascii="Times New Roman" w:hAnsi="Times New Roman" w:cs="Times New Roman" w:hint="eastAsia"/>
          <w:sz w:val="24"/>
          <w:szCs w:val="24"/>
        </w:rPr>
        <w:t>)</w:t>
      </w:r>
      <w:r w:rsidR="00557BCA">
        <w:rPr>
          <w:rFonts w:ascii="Times New Roman" w:hAnsi="Times New Roman" w:cs="Times New Roman"/>
          <w:sz w:val="24"/>
          <w:szCs w:val="24"/>
        </w:rPr>
        <w:t xml:space="preserve"> were used for the detection</w:t>
      </w:r>
      <w:r>
        <w:rPr>
          <w:rFonts w:ascii="Times New Roman" w:hAnsi="Times New Roman" w:cs="Times New Roman"/>
          <w:sz w:val="24"/>
          <w:szCs w:val="24"/>
        </w:rPr>
        <w:t>. (A) H1</w:t>
      </w:r>
      <w:r w:rsidR="0059713E">
        <w:rPr>
          <w:rFonts w:ascii="Times New Roman" w:hAnsi="Times New Roman" w:cs="Times New Roman"/>
          <w:sz w:val="24"/>
          <w:szCs w:val="24"/>
        </w:rPr>
        <w:t xml:space="preserve"> subtype SIV</w:t>
      </w:r>
      <w:r>
        <w:rPr>
          <w:rFonts w:ascii="Times New Roman" w:hAnsi="Times New Roman" w:cs="Times New Roman"/>
          <w:sz w:val="24"/>
          <w:szCs w:val="24"/>
        </w:rPr>
        <w:t xml:space="preserve"> detection channel; (B) H3 </w:t>
      </w:r>
      <w:r w:rsidR="0059713E">
        <w:rPr>
          <w:rFonts w:ascii="Times New Roman" w:hAnsi="Times New Roman" w:cs="Times New Roman"/>
          <w:sz w:val="24"/>
          <w:szCs w:val="24"/>
        </w:rPr>
        <w:t xml:space="preserve">subtype SIV </w:t>
      </w:r>
      <w:r>
        <w:rPr>
          <w:rFonts w:ascii="Times New Roman" w:hAnsi="Times New Roman" w:cs="Times New Roman"/>
          <w:sz w:val="24"/>
          <w:szCs w:val="24"/>
        </w:rPr>
        <w:t>detection channel. (a) H1</w:t>
      </w:r>
      <w:r w:rsidR="0059713E">
        <w:rPr>
          <w:rFonts w:ascii="Times New Roman" w:hAnsi="Times New Roman" w:cs="Times New Roman"/>
          <w:sz w:val="24"/>
          <w:szCs w:val="24"/>
        </w:rPr>
        <w:t xml:space="preserve"> subtype SIV</w:t>
      </w:r>
      <w:r>
        <w:rPr>
          <w:rFonts w:ascii="Times New Roman" w:hAnsi="Times New Roman" w:cs="Times New Roman"/>
          <w:sz w:val="24"/>
          <w:szCs w:val="24"/>
        </w:rPr>
        <w:t xml:space="preserve"> amplification curve; (b) H3</w:t>
      </w:r>
      <w:r w:rsidR="0059713E">
        <w:rPr>
          <w:rFonts w:ascii="Times New Roman" w:hAnsi="Times New Roman" w:cs="Times New Roman"/>
          <w:sz w:val="24"/>
          <w:szCs w:val="24"/>
        </w:rPr>
        <w:t xml:space="preserve"> subtype SIV </w:t>
      </w:r>
      <w:r>
        <w:rPr>
          <w:rFonts w:ascii="Times New Roman" w:hAnsi="Times New Roman" w:cs="Times New Roman"/>
          <w:sz w:val="24"/>
          <w:szCs w:val="24"/>
        </w:rPr>
        <w:t>amplification curve; (c) Curve</w:t>
      </w:r>
      <w:r w:rsidR="006D38B1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SFV P</w:t>
      </w:r>
      <w:r>
        <w:rPr>
          <w:rFonts w:ascii="Times New Roman" w:hAnsi="Times New Roman" w:cs="Times New Roman" w:hint="eastAsia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V,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PRRS</w:t>
      </w:r>
      <w:r>
        <w:rPr>
          <w:rFonts w:ascii="Times New Roman" w:hAnsi="Times New Roman" w:cs="Times New Roman" w:hint="eastAsia"/>
          <w:sz w:val="24"/>
          <w:szCs w:val="24"/>
        </w:rPr>
        <w:t>V,</w:t>
      </w:r>
      <w:r>
        <w:rPr>
          <w:rFonts w:ascii="Times New Roman" w:hAnsi="Times New Roman" w:cs="Times New Roman"/>
          <w:sz w:val="24"/>
          <w:szCs w:val="24"/>
        </w:rPr>
        <w:t xml:space="preserve"> PCV2, PEDV and PPV. </w:t>
      </w:r>
    </w:p>
    <w:p w14:paraId="19AF488B" w14:textId="61CA4A34" w:rsidR="007647B9" w:rsidRDefault="00761059">
      <w:r>
        <w:rPr>
          <w:noProof/>
        </w:rPr>
        <w:drawing>
          <wp:inline distT="0" distB="0" distL="0" distR="0" wp14:anchorId="40132D32" wp14:editId="2C768A8C">
            <wp:extent cx="3795713" cy="499554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7162" cy="5010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647B9" w:rsidSect="007020FC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845AA9" w14:textId="77777777" w:rsidR="007A3D75" w:rsidRDefault="007A3D75" w:rsidP="00ED7047">
      <w:r>
        <w:separator/>
      </w:r>
    </w:p>
  </w:endnote>
  <w:endnote w:type="continuationSeparator" w:id="0">
    <w:p w14:paraId="5DFAED89" w14:textId="77777777" w:rsidR="007A3D75" w:rsidRDefault="007A3D75" w:rsidP="00ED70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1ED602" w14:textId="77777777" w:rsidR="007A3D75" w:rsidRDefault="007A3D75" w:rsidP="00ED7047">
      <w:r>
        <w:separator/>
      </w:r>
    </w:p>
  </w:footnote>
  <w:footnote w:type="continuationSeparator" w:id="0">
    <w:p w14:paraId="10C3BDC4" w14:textId="77777777" w:rsidR="007A3D75" w:rsidRDefault="007A3D75" w:rsidP="00ED70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3281"/>
    <w:rsid w:val="00140A52"/>
    <w:rsid w:val="002228FA"/>
    <w:rsid w:val="00260284"/>
    <w:rsid w:val="002B02F2"/>
    <w:rsid w:val="002B4124"/>
    <w:rsid w:val="00325BE0"/>
    <w:rsid w:val="0045215B"/>
    <w:rsid w:val="004E0296"/>
    <w:rsid w:val="00535FF2"/>
    <w:rsid w:val="00557BCA"/>
    <w:rsid w:val="00573281"/>
    <w:rsid w:val="0059713E"/>
    <w:rsid w:val="005D3370"/>
    <w:rsid w:val="006D38B1"/>
    <w:rsid w:val="007020FC"/>
    <w:rsid w:val="007525C2"/>
    <w:rsid w:val="00761059"/>
    <w:rsid w:val="007647B9"/>
    <w:rsid w:val="007A3D75"/>
    <w:rsid w:val="007E3DD2"/>
    <w:rsid w:val="008B0915"/>
    <w:rsid w:val="008C1E55"/>
    <w:rsid w:val="00993F91"/>
    <w:rsid w:val="009C652A"/>
    <w:rsid w:val="00AF6101"/>
    <w:rsid w:val="00B718CA"/>
    <w:rsid w:val="00B72BC2"/>
    <w:rsid w:val="00BC3053"/>
    <w:rsid w:val="00D617E0"/>
    <w:rsid w:val="00DA646C"/>
    <w:rsid w:val="00DF0CC2"/>
    <w:rsid w:val="00EB5EEC"/>
    <w:rsid w:val="00ED7047"/>
    <w:rsid w:val="00ED754B"/>
    <w:rsid w:val="18F97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FB30FA"/>
  <w15:docId w15:val="{030E520A-1A40-41F8-97F9-C6C3269A5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70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704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70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704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B412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B4124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9">
    <w:name w:val="Table Grid"/>
    <w:basedOn w:val="a1"/>
    <w:uiPriority w:val="39"/>
    <w:qFormat/>
    <w:rsid w:val="008B091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240B29A-F3A8-4384-A465-304340E3D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355</Words>
  <Characters>2024</Characters>
  <Application>Microsoft Office Word</Application>
  <DocSecurity>0</DocSecurity>
  <Lines>16</Lines>
  <Paragraphs>4</Paragraphs>
  <ScaleCrop>false</ScaleCrop>
  <Company>China</Company>
  <LinksUpToDate>false</LinksUpToDate>
  <CharactersWithSpaces>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 凯彪</dc:creator>
  <cp:lastModifiedBy>陈 凯彪</cp:lastModifiedBy>
  <cp:revision>5</cp:revision>
  <dcterms:created xsi:type="dcterms:W3CDTF">2021-03-06T12:56:00Z</dcterms:created>
  <dcterms:modified xsi:type="dcterms:W3CDTF">2021-03-06T15:42:00Z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