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xmlns:wp14="http://schemas.microsoft.com/office/word/2010/wordml" w:rsidP="7A78D48D" w14:paraId="346B6213" wp14:textId="208A6BA7">
      <w:pPr>
        <w:spacing w:after="0" w:line="240" w:lineRule="auto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78D48D" w:rsidR="71BDC7B4">
        <w:rPr>
          <w:rFonts w:ascii="Times New Roman" w:hAnsi="Times New Roman" w:eastAsia="Times New Roman" w:cs="Times New Roman"/>
          <w:b w:val="1"/>
          <w:bCs w:val="1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Supplemental Table 1. Structural vulnerability factors* used for database searches and study screening. </w:t>
      </w:r>
    </w:p>
    <w:tbl>
      <w:tblPr>
        <w:tblStyle w:val="TableNormal"/>
        <w:tblW w:w="0" w:type="auto"/>
        <w:tblBorders>
          <w:top w:val="none" w:color="000000" w:themeColor="text1" w:sz="6"/>
          <w:left w:val="none" w:color="000000" w:themeColor="text1" w:sz="6"/>
          <w:bottom w:val="none" w:color="000000" w:themeColor="text1" w:sz="6"/>
          <w:right w:val="none" w:color="000000" w:themeColor="text1" w:sz="6"/>
          <w:insideH w:val="none" w:color="000000" w:themeColor="text1" w:sz="6"/>
          <w:insideV w:val="none" w:color="000000" w:themeColor="text1" w:sz="6"/>
        </w:tblBorders>
        <w:tblLayout w:type="fixed"/>
        <w:tblLook w:val="04A0" w:firstRow="1" w:lastRow="0" w:firstColumn="1" w:lastColumn="0" w:noHBand="0" w:noVBand="1"/>
      </w:tblPr>
      <w:tblGrid>
        <w:gridCol w:w="3330"/>
        <w:gridCol w:w="3300"/>
        <w:gridCol w:w="2700"/>
      </w:tblGrid>
      <w:tr w:rsidR="7A78D48D" w:rsidTr="7A78D48D" w14:paraId="525BCEDC">
        <w:trPr>
          <w:trHeight w:val="225"/>
        </w:trPr>
        <w:tc>
          <w:tcPr>
            <w:tcW w:w="3330" w:type="dxa"/>
            <w:tcBorders>
              <w:top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44537089" w14:textId="57658657">
            <w:pPr>
              <w:spacing w:after="0" w:line="240" w:lineRule="auto"/>
              <w:contextualSpacing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  <w:lang w:val="en-CA"/>
              </w:rPr>
              <w:t>Socioeconomic</w:t>
            </w:r>
          </w:p>
        </w:tc>
        <w:tc>
          <w:tcPr>
            <w:tcW w:w="3300" w:type="dxa"/>
            <w:tcBorders>
              <w:top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55A016D9" w14:textId="123D6F9C">
            <w:pPr>
              <w:spacing w:after="0" w:line="240" w:lineRule="auto"/>
              <w:contextualSpacing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  <w:lang w:val="en-CA"/>
              </w:rPr>
              <w:t>Ethnic and Cultural</w:t>
            </w:r>
          </w:p>
        </w:tc>
        <w:tc>
          <w:tcPr>
            <w:tcW w:w="2700" w:type="dxa"/>
            <w:tcBorders>
              <w:top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12B70E61" w14:textId="11F6580C">
            <w:pPr>
              <w:spacing w:after="0" w:line="240" w:lineRule="auto"/>
              <w:contextualSpacing/>
              <w:jc w:val="center"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1"/>
                <w:bCs w:val="1"/>
                <w:i w:val="0"/>
                <w:iCs w:val="0"/>
                <w:color w:val="000000" w:themeColor="text1" w:themeTint="FF" w:themeShade="FF"/>
                <w:sz w:val="24"/>
                <w:szCs w:val="24"/>
                <w:lang w:val="en-CA"/>
              </w:rPr>
              <w:t>Other</w:t>
            </w:r>
          </w:p>
        </w:tc>
      </w:tr>
      <w:tr w:rsidR="7A78D48D" w:rsidTr="7A78D48D" w14:paraId="424E3860">
        <w:trPr>
          <w:trHeight w:val="300"/>
        </w:trPr>
        <w:tc>
          <w:tcPr>
            <w:tcW w:w="3330" w:type="dxa"/>
            <w:tcBorders>
              <w:bottom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0A9204D1" w14:textId="726D8D6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Socioeconomic</w:t>
            </w:r>
          </w:p>
          <w:p w:rsidR="7A78D48D" w:rsidP="7A78D48D" w:rsidRDefault="7A78D48D" w14:paraId="3A019D83" w14:textId="1C0DCC3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Social / economic</w:t>
            </w:r>
          </w:p>
          <w:p w:rsidR="7A78D48D" w:rsidP="7A78D48D" w:rsidRDefault="7A78D48D" w14:paraId="4D1FB813" w14:textId="4EAA40A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Social class/stratification/  </w:t>
            </w:r>
          </w:p>
          <w:p w:rsidR="7A78D48D" w:rsidP="7A78D48D" w:rsidRDefault="7A78D48D" w14:paraId="1EA7469E" w14:textId="3820784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standing</w:t>
            </w:r>
          </w:p>
          <w:p w:rsidR="7A78D48D" w:rsidP="7A78D48D" w:rsidRDefault="7A78D48D" w14:paraId="2EF1940B" w14:textId="12D5B99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Social mobility</w:t>
            </w:r>
          </w:p>
          <w:p w:rsidR="7A78D48D" w:rsidP="7A78D48D" w:rsidRDefault="7A78D48D" w14:paraId="037FBF16" w14:textId="52F4457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Disparities</w:t>
            </w:r>
          </w:p>
          <w:p w:rsidR="7A78D48D" w:rsidP="7A78D48D" w:rsidRDefault="7A78D48D" w14:paraId="6AEC915D" w14:textId="36AADA8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637CEDB5" w14:textId="28ECD4DF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Employment</w:t>
            </w:r>
          </w:p>
          <w:p w:rsidR="7A78D48D" w:rsidP="7A78D48D" w:rsidRDefault="7A78D48D" w14:paraId="42B705D4" w14:textId="78B867ED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Unemployment</w:t>
            </w:r>
          </w:p>
          <w:p w:rsidR="7A78D48D" w:rsidP="7A78D48D" w:rsidRDefault="7A78D48D" w14:paraId="3947AC67" w14:textId="41436FFF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Personnel downsizing</w:t>
            </w:r>
          </w:p>
          <w:p w:rsidR="7A78D48D" w:rsidP="7A78D48D" w:rsidRDefault="7A78D48D" w14:paraId="560DA25F" w14:textId="75B7643B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Workplace</w:t>
            </w:r>
          </w:p>
          <w:p w:rsidR="7A78D48D" w:rsidP="7A78D48D" w:rsidRDefault="7A78D48D" w14:paraId="76B64F0E" w14:textId="30AB5FE4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Occupational class</w:t>
            </w:r>
          </w:p>
          <w:p w:rsidR="7A78D48D" w:rsidP="7A78D48D" w:rsidRDefault="7A78D48D" w14:paraId="640BAF77" w14:textId="45C8E58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39F93931" w14:textId="2C8C910C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Economic</w:t>
            </w:r>
          </w:p>
          <w:p w:rsidR="7A78D48D" w:rsidP="7A78D48D" w:rsidRDefault="7A78D48D" w14:paraId="78606AEA" w14:textId="1FBC997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Financial inequality/insecurity</w:t>
            </w:r>
          </w:p>
          <w:p w:rsidR="7A78D48D" w:rsidP="7A78D48D" w:rsidRDefault="7A78D48D" w14:paraId="1645B096" w14:textId="3C1BD0C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Economic mobility</w:t>
            </w:r>
          </w:p>
          <w:p w:rsidR="7A78D48D" w:rsidP="7A78D48D" w:rsidRDefault="7A78D48D" w14:paraId="3A6677D4" w14:textId="7A9CB22F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07592AF5" w14:textId="01EBA922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Income</w:t>
            </w:r>
          </w:p>
          <w:p w:rsidR="7A78D48D" w:rsidP="7A78D48D" w:rsidRDefault="7A78D48D" w14:paraId="039592BF" w14:textId="732079A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Remuneration</w:t>
            </w:r>
          </w:p>
          <w:p w:rsidR="7A78D48D" w:rsidP="7A78D48D" w:rsidRDefault="7A78D48D" w14:paraId="61DE62EB" w14:textId="6E13F5A7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Livelihood</w:t>
            </w:r>
          </w:p>
          <w:p w:rsidR="7A78D48D" w:rsidP="7A78D48D" w:rsidRDefault="7A78D48D" w14:paraId="61C16D01" w14:textId="0817EE5B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Salary</w:t>
            </w:r>
          </w:p>
          <w:p w:rsidR="7A78D48D" w:rsidP="7A78D48D" w:rsidRDefault="7A78D48D" w14:paraId="72A00C0D" w14:textId="5569768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Impoverished</w:t>
            </w:r>
          </w:p>
          <w:p w:rsidR="7A78D48D" w:rsidP="7A78D48D" w:rsidRDefault="7A78D48D" w14:paraId="20DBF5A8" w14:textId="11D23F1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500028E5" w14:textId="467251A5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Poverty</w:t>
            </w:r>
          </w:p>
          <w:p w:rsidR="7A78D48D" w:rsidP="7A78D48D" w:rsidRDefault="7A78D48D" w14:paraId="0820E366" w14:textId="553D3BD5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Poverty areas</w:t>
            </w:r>
          </w:p>
          <w:p w:rsidR="7A78D48D" w:rsidP="7A78D48D" w:rsidRDefault="7A78D48D" w14:paraId="4EFF9F01" w14:textId="27837C1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2F249645" w14:textId="74E8C87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Education</w:t>
            </w:r>
          </w:p>
          <w:p w:rsidR="7A78D48D" w:rsidP="7A78D48D" w:rsidRDefault="7A78D48D" w14:paraId="2FEBB6AB" w14:textId="799C3C4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Literacy/illiteracy</w:t>
            </w:r>
          </w:p>
          <w:p w:rsidR="7A78D48D" w:rsidP="7A78D48D" w:rsidRDefault="7A78D48D" w14:paraId="50E0D601" w14:textId="3BAE041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Poor/low attainment</w:t>
            </w:r>
          </w:p>
          <w:p w:rsidR="7A78D48D" w:rsidP="7A78D48D" w:rsidRDefault="7A78D48D" w14:paraId="5958137E" w14:textId="6B87A40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7EE67E4C" w14:textId="78BF89D4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Health services accessibility</w:t>
            </w:r>
          </w:p>
          <w:p w:rsidR="7A78D48D" w:rsidP="7A78D48D" w:rsidRDefault="7A78D48D" w14:paraId="781C7CFD" w14:textId="39D3145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Rural health/ services</w:t>
            </w:r>
          </w:p>
          <w:p w:rsidR="7A78D48D" w:rsidP="7A78D48D" w:rsidRDefault="7A78D48D" w14:paraId="1B14543D" w14:textId="2491B7D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Rural population</w:t>
            </w:r>
          </w:p>
          <w:p w:rsidR="7A78D48D" w:rsidP="7A78D48D" w:rsidRDefault="7A78D48D" w14:paraId="0DA08369" w14:textId="58142CF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Isolated/secluded/inaccessible </w:t>
            </w:r>
          </w:p>
          <w:p w:rsidR="7A78D48D" w:rsidP="7A78D48D" w:rsidRDefault="7A78D48D" w14:paraId="5EA26B01" w14:textId="12EFD63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region/area/territories</w:t>
            </w:r>
          </w:p>
          <w:p w:rsidR="7A78D48D" w:rsidP="7A78D48D" w:rsidRDefault="7A78D48D" w14:paraId="46AA0B0E" w14:textId="62578CBB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7A78D48D" w:rsidP="7A78D48D" w:rsidRDefault="7A78D48D" w14:paraId="76ED5753" w14:textId="448C6E92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CA"/>
              </w:rPr>
              <w:t>Food insecurity</w:t>
            </w:r>
          </w:p>
        </w:tc>
        <w:tc>
          <w:tcPr>
            <w:tcW w:w="3300" w:type="dxa"/>
            <w:tcBorders>
              <w:bottom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68C21E4D" w14:textId="4FF5A15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Immigrant</w:t>
            </w:r>
          </w:p>
          <w:p w:rsidR="7A78D48D" w:rsidP="7A78D48D" w:rsidRDefault="7A78D48D" w14:paraId="1E49B33D" w14:textId="6A6C936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Emigrant</w:t>
            </w:r>
          </w:p>
          <w:p w:rsidR="7A78D48D" w:rsidP="7A78D48D" w:rsidRDefault="7A78D48D" w14:paraId="30B748CE" w14:textId="057DA7F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Refugees</w:t>
            </w:r>
          </w:p>
          <w:p w:rsidR="7A78D48D" w:rsidP="7A78D48D" w:rsidRDefault="7A78D48D" w14:paraId="60E124B8" w14:textId="50DC3A2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Asylum seekers</w:t>
            </w:r>
          </w:p>
          <w:p w:rsidR="7A78D48D" w:rsidP="7A78D48D" w:rsidRDefault="7A78D48D" w14:paraId="24D1CE73" w14:textId="302725B0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368FD10C" w14:textId="7BE0449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American Native Continental Ancestry Group</w:t>
            </w:r>
          </w:p>
          <w:p w:rsidR="7A78D48D" w:rsidP="7A78D48D" w:rsidRDefault="7A78D48D" w14:paraId="59E6BE88" w14:textId="3DE75E95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Indians</w:t>
            </w:r>
          </w:p>
          <w:p w:rsidR="7A78D48D" w:rsidP="7A78D48D" w:rsidRDefault="7A78D48D" w14:paraId="5BD68504" w14:textId="66D723D0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Central/North/South American</w:t>
            </w:r>
          </w:p>
          <w:p w:rsidR="7A78D48D" w:rsidP="7A78D48D" w:rsidRDefault="7A78D48D" w14:paraId="7CC0F71F" w14:textId="02C9E8A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Inuits/Metis</w:t>
            </w:r>
          </w:p>
          <w:p w:rsidR="7A78D48D" w:rsidP="7A78D48D" w:rsidRDefault="7A78D48D" w14:paraId="5D1D0E89" w14:textId="72D8B8F2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Oceanic Ancestry Group</w:t>
            </w:r>
          </w:p>
          <w:p w:rsidR="7A78D48D" w:rsidP="7A78D48D" w:rsidRDefault="7A78D48D" w14:paraId="77E47561" w14:textId="26EE8B8C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Aboriginals/First Nation/  </w:t>
            </w:r>
          </w:p>
          <w:p w:rsidR="7A78D48D" w:rsidP="7A78D48D" w:rsidRDefault="7A78D48D" w14:paraId="7C9D8BCF" w14:textId="43E03C85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Indigenous/Native people</w:t>
            </w:r>
          </w:p>
          <w:p w:rsidR="7A78D48D" w:rsidP="7A78D48D" w:rsidRDefault="7A78D48D" w14:paraId="415413F5" w14:textId="7E0B9A0D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456E5404" w14:textId="2EACAB4C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Ethnic group/minority</w:t>
            </w:r>
          </w:p>
          <w:p w:rsidR="7A78D48D" w:rsidP="7A78D48D" w:rsidRDefault="7A78D48D" w14:paraId="1DFFCE0E" w14:textId="38894D4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African American/Canadian</w:t>
            </w:r>
          </w:p>
          <w:p w:rsidR="7A78D48D" w:rsidP="7A78D48D" w:rsidRDefault="7A78D48D" w14:paraId="4BD0B088" w14:textId="67531AB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Asian/Chinese American/ </w:t>
            </w:r>
          </w:p>
          <w:p w:rsidR="7A78D48D" w:rsidP="7A78D48D" w:rsidRDefault="7A78D48D" w14:paraId="63760687" w14:textId="3331943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Canadian</w:t>
            </w:r>
          </w:p>
          <w:p w:rsidR="7A78D48D" w:rsidP="7A78D48D" w:rsidRDefault="7A78D48D" w14:paraId="0E7A4230" w14:textId="36E54E7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Hispanic/Mexican/Latin </w:t>
            </w:r>
          </w:p>
          <w:p w:rsidR="7A78D48D" w:rsidP="7A78D48D" w:rsidRDefault="7A78D48D" w14:paraId="09C0E1AF" w14:textId="09108EC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 American/Canadian</w:t>
            </w:r>
          </w:p>
          <w:p w:rsidR="7A78D48D" w:rsidP="7A78D48D" w:rsidRDefault="7A78D48D" w14:paraId="47C55E95" w14:textId="0CFA386A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 </w:t>
            </w: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CA"/>
              </w:rPr>
              <w:t>Arab</w:t>
            </w:r>
          </w:p>
        </w:tc>
        <w:tc>
          <w:tcPr>
            <w:tcW w:w="2700" w:type="dxa"/>
            <w:tcBorders>
              <w:bottom w:val="none" w:color="7F7F7F" w:themeColor="text1" w:themeTint="80" w:sz="6"/>
            </w:tcBorders>
            <w:tcMar>
              <w:top w:w="90" w:type="dxa"/>
              <w:left w:w="90" w:type="dxa"/>
              <w:bottom w:w="90" w:type="dxa"/>
              <w:right w:w="90" w:type="dxa"/>
            </w:tcMar>
            <w:vAlign w:val="top"/>
          </w:tcPr>
          <w:p w:rsidR="7A78D48D" w:rsidP="7A78D48D" w:rsidRDefault="7A78D48D" w14:paraId="61EDA9FC" w14:textId="410E4FA2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Vulnerable population/group/ person</w:t>
            </w:r>
          </w:p>
          <w:p w:rsidR="7A78D48D" w:rsidP="7A78D48D" w:rsidRDefault="7A78D48D" w14:paraId="236C44E9" w14:textId="4A8308F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Disadvantage</w:t>
            </w:r>
          </w:p>
          <w:p w:rsidR="7A78D48D" w:rsidP="7A78D48D" w:rsidRDefault="7A78D48D" w14:paraId="67803D25" w14:textId="60D4D35D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40F8FC7D" w14:textId="44505CBB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Violence</w:t>
            </w:r>
          </w:p>
          <w:p w:rsidR="7A78D48D" w:rsidP="7A78D48D" w:rsidRDefault="7A78D48D" w14:paraId="43304E24" w14:textId="629F3914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Domestic/partner</w:t>
            </w:r>
          </w:p>
          <w:p w:rsidR="7A78D48D" w:rsidP="7A78D48D" w:rsidRDefault="7A78D48D" w14:paraId="6C02A9C6" w14:textId="24CCCBF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Spousal abuse</w:t>
            </w:r>
          </w:p>
          <w:p w:rsidR="7A78D48D" w:rsidP="7A78D48D" w:rsidRDefault="7A78D48D" w14:paraId="4EC643AD" w14:textId="545BFD9D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Physical abuse</w:t>
            </w:r>
          </w:p>
          <w:p w:rsidR="7A78D48D" w:rsidP="7A78D48D" w:rsidRDefault="7A78D48D" w14:paraId="1B26CB78" w14:textId="71463B31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 xml:space="preserve">   Sexual abuse</w:t>
            </w:r>
          </w:p>
          <w:p w:rsidR="7A78D48D" w:rsidP="7A78D48D" w:rsidRDefault="7A78D48D" w14:paraId="75B099EF" w14:textId="0C218D9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3BA8A5FC" w14:textId="5899E361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Marital status</w:t>
            </w:r>
          </w:p>
          <w:p w:rsidR="7A78D48D" w:rsidP="7A78D48D" w:rsidRDefault="7A78D48D" w14:paraId="07E999CF" w14:textId="583D932F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Family characteristics</w:t>
            </w:r>
          </w:p>
          <w:p w:rsidR="7A78D48D" w:rsidP="7A78D48D" w:rsidRDefault="7A78D48D" w14:paraId="3D6AFD82" w14:textId="0A0A2F5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 Divorce/marriage</w:t>
            </w:r>
          </w:p>
          <w:p w:rsidR="7A78D48D" w:rsidP="7A78D48D" w:rsidRDefault="7A78D48D" w14:paraId="32ACBE36" w14:textId="46ECE0CB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Single parent/mother/widow</w:t>
            </w:r>
          </w:p>
          <w:p w:rsidR="7A78D48D" w:rsidP="7A78D48D" w:rsidRDefault="7A78D48D" w14:paraId="41525B2F" w14:textId="3121D3C2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2DB498D5" w14:textId="583DDC31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fr-CA"/>
              </w:rPr>
              <w:t>Social support</w:t>
            </w:r>
          </w:p>
          <w:p w:rsidR="7A78D48D" w:rsidP="7A78D48D" w:rsidRDefault="7A78D48D" w14:paraId="0BB7DBB8" w14:textId="2FD1BE11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fr-CA"/>
              </w:rPr>
              <w:t>   Psychosocial support</w:t>
            </w:r>
          </w:p>
          <w:p w:rsidR="7A78D48D" w:rsidP="7A78D48D" w:rsidRDefault="7A78D48D" w14:paraId="0D276884" w14:textId="7089C3A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fr-CA"/>
              </w:rPr>
              <w:t>   Social isolation/alienation/ </w:t>
            </w:r>
          </w:p>
          <w:p w:rsidR="7A78D48D" w:rsidP="7A78D48D" w:rsidRDefault="7A78D48D" w14:paraId="2E6BB7BE" w14:textId="1318F43E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fr-CA"/>
              </w:rPr>
              <w:t>   </w:t>
            </w: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Marginalization</w:t>
            </w:r>
          </w:p>
          <w:p w:rsidR="7A78D48D" w:rsidP="7A78D48D" w:rsidRDefault="7A78D48D" w14:paraId="4FD07B10" w14:textId="42082E2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7A78D48D" w:rsidP="7A78D48D" w:rsidRDefault="7A78D48D" w14:paraId="684C5C67" w14:textId="60482EC9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Sex workers</w:t>
            </w:r>
          </w:p>
          <w:p w:rsidR="7A78D48D" w:rsidP="7A78D48D" w:rsidRDefault="7A78D48D" w14:paraId="7D30A140" w14:textId="090E5004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  Prostitute</w:t>
            </w:r>
          </w:p>
          <w:p w:rsidR="7A78D48D" w:rsidP="7A78D48D" w:rsidRDefault="7A78D48D" w14:paraId="49468B7B" w14:textId="3D30012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714B0BFA" w14:textId="3AA417D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Drug users</w:t>
            </w:r>
          </w:p>
          <w:p w:rsidR="7A78D48D" w:rsidP="7A78D48D" w:rsidRDefault="7A78D48D" w14:paraId="7B849794" w14:textId="79D14083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05BF440F" w14:textId="367A74FC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Adolescence</w:t>
            </w:r>
          </w:p>
          <w:p w:rsidR="7A78D48D" w:rsidP="7A78D48D" w:rsidRDefault="7A78D48D" w14:paraId="527DCECD" w14:textId="4EE8B1D8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  <w:lang w:val="en-US"/>
              </w:rPr>
              <w:t> </w:t>
            </w:r>
          </w:p>
          <w:p w:rsidR="7A78D48D" w:rsidP="7A78D48D" w:rsidRDefault="7A78D48D" w14:paraId="11109969" w14:textId="4A1D66A4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Prisoners</w:t>
            </w:r>
          </w:p>
          <w:p w:rsidR="7A78D48D" w:rsidP="7A78D48D" w:rsidRDefault="7A78D48D" w14:paraId="51C56D93" w14:textId="4AA1FE06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</w:p>
          <w:p w:rsidR="7A78D48D" w:rsidP="7A78D48D" w:rsidRDefault="7A78D48D" w14:paraId="5654861F" w14:textId="22C3573F">
            <w:pPr>
              <w:spacing w:after="0" w:line="240" w:lineRule="auto"/>
              <w:contextualSpacing/>
              <w:rPr>
                <w:rFonts w:ascii="Times New Roman" w:hAnsi="Times New Roman" w:eastAsia="Times New Roman" w:cs="Times New Roman"/>
                <w:b w:val="0"/>
                <w:bCs w:val="0"/>
                <w:i w:val="0"/>
                <w:iCs w:val="0"/>
                <w:color w:val="000000" w:themeColor="text1" w:themeTint="FF" w:themeShade="FF"/>
                <w:sz w:val="24"/>
                <w:szCs w:val="24"/>
              </w:rPr>
            </w:pPr>
            <w:r w:rsidRPr="7A78D48D" w:rsidR="7A78D48D">
              <w:rPr>
                <w:rFonts w:ascii="Times New Roman" w:hAnsi="Times New Roman" w:eastAsia="Times New Roman" w:cs="Times New Roman"/>
                <w:b w:val="0"/>
                <w:bCs w:val="0"/>
                <w:i w:val="1"/>
                <w:iCs w:val="1"/>
                <w:color w:val="000000" w:themeColor="text1" w:themeTint="FF" w:themeShade="FF"/>
                <w:sz w:val="24"/>
                <w:szCs w:val="24"/>
                <w:lang w:val="en-US"/>
              </w:rPr>
              <w:t>Parity</w:t>
            </w:r>
          </w:p>
        </w:tc>
      </w:tr>
    </w:tbl>
    <w:p xmlns:wp14="http://schemas.microsoft.com/office/word/2010/wordml" w:rsidP="7A78D48D" w14:paraId="7AA2CD3A" wp14:textId="0ECC586E">
      <w:pPr>
        <w:spacing w:after="0" w:line="240" w:lineRule="auto"/>
        <w:contextualSpacing/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</w:pPr>
      <w:r w:rsidRPr="7A78D48D" w:rsidR="71BDC7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*Structural vulnerability factors were identified based on Bourgois </w:t>
      </w:r>
      <w:r w:rsidRPr="7A78D48D" w:rsidR="71BDC7B4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et al.</w:t>
      </w:r>
      <w:r w:rsidRPr="7A78D48D" w:rsidR="71BDC7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 xml:space="preserve"> (2017) conceptual framework </w:t>
      </w:r>
      <w:r w:rsidRPr="7A78D48D" w:rsidR="71BDC7B4">
        <w:rPr>
          <w:rFonts w:ascii="Times New Roman" w:hAnsi="Times New Roman" w:eastAsia="Times New Roman" w:cs="Times New Roman"/>
          <w:b w:val="0"/>
          <w:bCs w:val="0"/>
          <w:i w:val="0"/>
          <w:iCs w:val="0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CA"/>
        </w:rPr>
        <w:t>(16)</w:t>
      </w:r>
      <w:r w:rsidRPr="7A78D48D" w:rsidR="71BDC7B4">
        <w:rPr>
          <w:rFonts w:ascii="Times New Roman" w:hAnsi="Times New Roman" w:eastAsia="Times New Roman" w:cs="Times New Roman"/>
          <w:b w:val="0"/>
          <w:bCs w:val="0"/>
          <w:i w:val="1"/>
          <w:iCs w:val="1"/>
          <w:caps w:val="0"/>
          <w:smallCaps w:val="0"/>
          <w:noProof w:val="0"/>
          <w:color w:val="000000" w:themeColor="text1" w:themeTint="FF" w:themeShade="FF"/>
          <w:sz w:val="24"/>
          <w:szCs w:val="24"/>
          <w:lang w:val="en-US"/>
        </w:rPr>
        <w:t>.</w:t>
      </w:r>
    </w:p>
    <w:p xmlns:wp14="http://schemas.microsoft.com/office/word/2010/wordml" w:rsidP="7A78D48D" w14:paraId="2C078E63" wp14:textId="3B9D5678">
      <w:pPr>
        <w:pStyle w:val="Normal"/>
      </w:pPr>
    </w:p>
    <w:sectPr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E4DA06E"/>
    <w:rsid w:val="0E4DA06E"/>
    <w:rsid w:val="71409CE5"/>
    <w:rsid w:val="71BDC7B4"/>
    <w:rsid w:val="7A78D4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E4DA06E"/>
  <w15:chartTrackingRefBased/>
  <w15:docId w15:val="{3BFA99A3-12CB-4A47-9E37-30B8E4E4DBA6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 wp14">
  <w:docDefaults>
    <w:rPrDefault>
      <w:rPr>
        <w:rFonts w:asciiTheme="minorHAnsi" w:hAnsiTheme="minorHAnsi" w:eastAsia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xmlns:w="http://schemas.openxmlformats.org/wordprocessingml/2006/main" w:type="table" w:styleId="TableGrid">
    <w:name xmlns:w="http://schemas.openxmlformats.org/wordprocessingml/2006/main" w:val="Table Grid"/>
    <w:basedOn xmlns:w="http://schemas.openxmlformats.org/wordprocessingml/2006/main" w:val="TableNormal"/>
    <w:uiPriority xmlns:w="http://schemas.openxmlformats.org/wordprocessingml/2006/main" w:val="59"/>
    <w:rsid xmlns:w="http://schemas.openxmlformats.org/wordprocessingml/2006/main" w:val="00FB4123"/>
    <w:pPr xmlns:w="http://schemas.openxmlformats.org/wordprocessingml/2006/main">
      <w:spacing w:after="0" w:line="240" w:lineRule="auto"/>
    </w:pPr>
    <w:tblPr xmlns:w="http://schemas.openxmlformats.org/wordprocessingml/2006/main">
      <w:tblInd w:w="0" w:type="dxa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2023-06-13T13:39:07.8028639Z</dcterms:created>
  <dcterms:modified xsi:type="dcterms:W3CDTF">2023-06-13T13:41:20.7619349Z</dcterms:modified>
  <dc:creator>Bénédicte Fontaine-Bisson</dc:creator>
  <lastModifiedBy>Bénédicte Fontaine-Bisson</lastModifiedBy>
</coreProperties>
</file>