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7CAD" w14:textId="4C291A5F" w:rsidR="00112417" w:rsidRPr="00684838" w:rsidRDefault="00684838">
      <w:pPr>
        <w:rPr>
          <w:sz w:val="24"/>
          <w:szCs w:val="24"/>
        </w:rPr>
      </w:pPr>
      <w:r w:rsidRPr="00684838">
        <w:rPr>
          <w:b/>
          <w:bCs/>
          <w:noProof/>
          <w:sz w:val="24"/>
          <w:szCs w:val="24"/>
        </w:rPr>
        <w:t>Supplementary</w:t>
      </w:r>
      <w:r>
        <w:rPr>
          <w:b/>
          <w:bCs/>
          <w:noProof/>
          <w:sz w:val="24"/>
          <w:szCs w:val="24"/>
        </w:rPr>
        <w:t xml:space="preserve"> Figures</w:t>
      </w:r>
      <w:r w:rsidR="00EC40A2">
        <w:rPr>
          <w:b/>
          <w:bCs/>
          <w:noProof/>
          <w:sz w:val="24"/>
          <w:szCs w:val="24"/>
        </w:rPr>
        <w:t xml:space="preserve"> for “Identifying the multiple drivers of Cactus diversification”</w:t>
      </w:r>
      <w:r w:rsidR="00112417" w:rsidRPr="00684838">
        <w:rPr>
          <w:noProof/>
          <w:sz w:val="24"/>
          <w:szCs w:val="24"/>
        </w:rPr>
        <w:drawing>
          <wp:inline distT="0" distB="0" distL="0" distR="0" wp14:anchorId="2AC78C39" wp14:editId="3AB9CDDC">
            <wp:extent cx="5730240" cy="5875020"/>
            <wp:effectExtent l="0" t="0" r="3810" b="0"/>
            <wp:docPr id="280412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587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CFB99" w14:textId="4A1D5275" w:rsidR="00112417" w:rsidRPr="00684838" w:rsidRDefault="00112417">
      <w:pPr>
        <w:rPr>
          <w:sz w:val="24"/>
          <w:szCs w:val="24"/>
        </w:rPr>
      </w:pPr>
      <w:r w:rsidRPr="00684838">
        <w:rPr>
          <w:b/>
          <w:bCs/>
          <w:sz w:val="24"/>
          <w:szCs w:val="24"/>
        </w:rPr>
        <w:t>Supplementary figure 1:</w:t>
      </w:r>
      <w:r w:rsidRPr="00684838">
        <w:rPr>
          <w:sz w:val="24"/>
          <w:szCs w:val="24"/>
        </w:rPr>
        <w:t xml:space="preserve"> The maximum a posteriori rate shift configuration estimated by BAMM, with branches coloured by speciation rate</w:t>
      </w:r>
      <w:r w:rsidR="0073514A">
        <w:rPr>
          <w:sz w:val="24"/>
          <w:szCs w:val="24"/>
        </w:rPr>
        <w:t>,</w:t>
      </w:r>
      <w:r w:rsidRPr="00684838">
        <w:rPr>
          <w:sz w:val="24"/>
          <w:szCs w:val="24"/>
        </w:rPr>
        <w:t xml:space="preserve"> and rate shifts (red circles).</w:t>
      </w:r>
      <w:r w:rsidRPr="00684838">
        <w:rPr>
          <w:sz w:val="24"/>
          <w:szCs w:val="24"/>
        </w:rPr>
        <w:br w:type="page"/>
      </w:r>
    </w:p>
    <w:p w14:paraId="66769091" w14:textId="10EBED63" w:rsidR="00112417" w:rsidRPr="00684838" w:rsidRDefault="00112417">
      <w:pPr>
        <w:rPr>
          <w:sz w:val="24"/>
          <w:szCs w:val="24"/>
        </w:rPr>
      </w:pPr>
      <w:r w:rsidRPr="00684838">
        <w:rPr>
          <w:noProof/>
          <w:sz w:val="24"/>
          <w:szCs w:val="24"/>
        </w:rPr>
        <w:lastRenderedPageBreak/>
        <w:drawing>
          <wp:inline distT="0" distB="0" distL="0" distR="0" wp14:anchorId="67C70AEA" wp14:editId="7BBCB154">
            <wp:extent cx="5524500" cy="5410200"/>
            <wp:effectExtent l="0" t="0" r="0" b="0"/>
            <wp:docPr id="10296016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69049" w14:textId="0445ABF4" w:rsidR="00992C29" w:rsidRPr="00684838" w:rsidRDefault="00992C29">
      <w:pPr>
        <w:rPr>
          <w:sz w:val="24"/>
          <w:szCs w:val="24"/>
        </w:rPr>
      </w:pPr>
      <w:r w:rsidRPr="00684838">
        <w:rPr>
          <w:b/>
          <w:bCs/>
          <w:sz w:val="24"/>
          <w:szCs w:val="24"/>
        </w:rPr>
        <w:t xml:space="preserve">Supplementary figure 2: </w:t>
      </w:r>
      <w:r w:rsidRPr="00684838">
        <w:rPr>
          <w:sz w:val="24"/>
          <w:szCs w:val="24"/>
        </w:rPr>
        <w:t xml:space="preserve">The phylogenetic distribution of plant size (height or length, log cm+1) and growth form.  Major branches are indicated: subfamily Cactoideae (A), subfamily Opuntioideae (B) and the </w:t>
      </w:r>
      <w:r w:rsidRPr="00684838">
        <w:rPr>
          <w:i/>
          <w:iCs/>
          <w:sz w:val="24"/>
          <w:szCs w:val="24"/>
        </w:rPr>
        <w:t>Mammillaria</w:t>
      </w:r>
      <w:r w:rsidRPr="00684838">
        <w:rPr>
          <w:sz w:val="24"/>
          <w:szCs w:val="24"/>
        </w:rPr>
        <w:t xml:space="preserve"> complex.</w:t>
      </w:r>
    </w:p>
    <w:sectPr w:rsidR="00992C29" w:rsidRPr="00684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17"/>
    <w:rsid w:val="00112417"/>
    <w:rsid w:val="00684838"/>
    <w:rsid w:val="0073514A"/>
    <w:rsid w:val="008A2517"/>
    <w:rsid w:val="00992C29"/>
    <w:rsid w:val="00CF706E"/>
    <w:rsid w:val="00DF4520"/>
    <w:rsid w:val="00EC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F8E2D"/>
  <w15:chartTrackingRefBased/>
  <w15:docId w15:val="{3735D036-3CD6-4CFA-B1AE-BB82D5F7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5761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Thompson</dc:creator>
  <cp:keywords/>
  <dc:description/>
  <cp:lastModifiedBy>Jamie Thompson</cp:lastModifiedBy>
  <cp:revision>5</cp:revision>
  <dcterms:created xsi:type="dcterms:W3CDTF">2023-06-08T19:13:00Z</dcterms:created>
  <dcterms:modified xsi:type="dcterms:W3CDTF">2023-06-13T16:02:00Z</dcterms:modified>
</cp:coreProperties>
</file>