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DD036" w14:textId="3194BA49" w:rsidR="008F4FCD" w:rsidRPr="007276FD" w:rsidRDefault="002F3C0C" w:rsidP="008F4FCD">
      <w:pPr>
        <w:rPr>
          <w:b/>
          <w:bCs/>
          <w:i/>
          <w:iCs/>
          <w:color w:val="44546A" w:themeColor="text2"/>
          <w:lang w:val="en-US"/>
        </w:rPr>
      </w:pPr>
      <w:r>
        <w:rPr>
          <w:b/>
          <w:bCs/>
          <w:lang w:val="en-US"/>
        </w:rPr>
        <w:t>Additional file 2</w:t>
      </w:r>
      <w:r w:rsidR="008F4FCD" w:rsidRPr="007276FD">
        <w:rPr>
          <w:b/>
          <w:bCs/>
          <w:lang w:val="en-US"/>
        </w:rPr>
        <w:t xml:space="preserve">. Coding Matrix: examples </w:t>
      </w:r>
    </w:p>
    <w:tbl>
      <w:tblPr>
        <w:tblW w:w="5000" w:type="pct"/>
        <w:tblLook w:val="04A0" w:firstRow="1" w:lastRow="0" w:firstColumn="1" w:lastColumn="0" w:noHBand="0" w:noVBand="1"/>
      </w:tblPr>
      <w:tblGrid>
        <w:gridCol w:w="4654"/>
        <w:gridCol w:w="4647"/>
        <w:gridCol w:w="4647"/>
      </w:tblGrid>
      <w:tr w:rsidR="008F4FCD" w:rsidRPr="007276FD" w14:paraId="0C7731E6" w14:textId="77777777" w:rsidTr="00935894">
        <w:trPr>
          <w:trHeight w:val="1510"/>
        </w:trPr>
        <w:tc>
          <w:tcPr>
            <w:tcW w:w="1668" w:type="pct"/>
            <w:tcBorders>
              <w:top w:val="single" w:sz="4" w:space="0" w:color="auto"/>
              <w:left w:val="single" w:sz="4" w:space="0" w:color="auto"/>
              <w:bottom w:val="single" w:sz="4" w:space="0" w:color="auto"/>
              <w:right w:val="single" w:sz="4" w:space="0" w:color="auto"/>
            </w:tcBorders>
            <w:shd w:val="clear" w:color="auto" w:fill="auto"/>
          </w:tcPr>
          <w:p w14:paraId="192991A5"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Systemic </w:t>
            </w:r>
            <w:r w:rsidRPr="007276FD">
              <w:rPr>
                <w:rFonts w:asciiTheme="majorHAnsi" w:hAnsiTheme="majorHAnsi" w:cstheme="majorHAnsi"/>
                <w:b/>
                <w:bCs/>
                <w:i/>
                <w:iCs/>
                <w:sz w:val="16"/>
                <w:szCs w:val="16"/>
                <w:lang w:val="en-US"/>
              </w:rPr>
              <w:t>expectations</w:t>
            </w:r>
            <w:r w:rsidRPr="007276FD">
              <w:rPr>
                <w:rFonts w:asciiTheme="majorHAnsi" w:hAnsiTheme="majorHAnsi" w:cstheme="majorHAnsi"/>
                <w:b/>
                <w:bCs/>
                <w:sz w:val="16"/>
                <w:szCs w:val="16"/>
                <w:lang w:val="en-US"/>
              </w:rPr>
              <w:t xml:space="preserve"> about contributions of patients &amp; caregivers in implementation processes.</w:t>
            </w:r>
          </w:p>
          <w:p w14:paraId="6AC51B50" w14:textId="77777777" w:rsidR="008F4FCD" w:rsidRPr="007276FD" w:rsidRDefault="008F4FCD" w:rsidP="00935894">
            <w:pPr>
              <w:rPr>
                <w:rFonts w:asciiTheme="majorHAnsi" w:hAnsiTheme="majorHAnsi" w:cstheme="majorHAnsi"/>
                <w:b/>
                <w:bCs/>
                <w:sz w:val="16"/>
                <w:szCs w:val="16"/>
                <w:lang w:val="en-US"/>
              </w:rPr>
            </w:pPr>
          </w:p>
          <w:p w14:paraId="26B5CAFE"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(Realized in assumptions about patient/caregiver effective </w:t>
            </w:r>
            <w:r w:rsidRPr="007276FD">
              <w:rPr>
                <w:rFonts w:asciiTheme="majorHAnsi" w:hAnsiTheme="majorHAnsi" w:cstheme="majorHAnsi"/>
                <w:b/>
                <w:bCs/>
                <w:i/>
                <w:iCs/>
                <w:sz w:val="16"/>
                <w:szCs w:val="16"/>
                <w:lang w:val="en-US"/>
              </w:rPr>
              <w:t xml:space="preserve">participation </w:t>
            </w:r>
            <w:r w:rsidRPr="007276FD">
              <w:rPr>
                <w:rFonts w:asciiTheme="majorHAnsi" w:hAnsiTheme="majorHAnsi" w:cstheme="majorHAnsi"/>
                <w:b/>
                <w:bCs/>
                <w:sz w:val="16"/>
                <w:szCs w:val="16"/>
                <w:lang w:val="en-US"/>
              </w:rPr>
              <w:t>in care)</w:t>
            </w:r>
          </w:p>
        </w:tc>
        <w:tc>
          <w:tcPr>
            <w:tcW w:w="1666" w:type="pct"/>
            <w:tcBorders>
              <w:top w:val="single" w:sz="4" w:space="0" w:color="auto"/>
              <w:left w:val="single" w:sz="4" w:space="0" w:color="auto"/>
              <w:bottom w:val="single" w:sz="4" w:space="0" w:color="auto"/>
              <w:right w:val="single" w:sz="4" w:space="0" w:color="auto"/>
            </w:tcBorders>
            <w:shd w:val="clear" w:color="auto" w:fill="auto"/>
          </w:tcPr>
          <w:p w14:paraId="273940BA"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Micro-level processes shaping the ways that care is mobilized and </w:t>
            </w:r>
            <w:r w:rsidRPr="007276FD">
              <w:rPr>
                <w:rFonts w:asciiTheme="majorHAnsi" w:hAnsiTheme="majorHAnsi" w:cstheme="majorHAnsi"/>
                <w:b/>
                <w:bCs/>
                <w:i/>
                <w:iCs/>
                <w:sz w:val="16"/>
                <w:szCs w:val="16"/>
                <w:lang w:val="en-US"/>
              </w:rPr>
              <w:t>enacted</w:t>
            </w:r>
            <w:r w:rsidRPr="007276FD">
              <w:rPr>
                <w:rFonts w:asciiTheme="majorHAnsi" w:hAnsiTheme="majorHAnsi" w:cstheme="majorHAnsi"/>
                <w:b/>
                <w:bCs/>
                <w:sz w:val="16"/>
                <w:szCs w:val="16"/>
                <w:lang w:val="en-US"/>
              </w:rPr>
              <w:t xml:space="preserve"> in practice settings. </w:t>
            </w:r>
          </w:p>
          <w:p w14:paraId="5A74D9DD" w14:textId="77777777" w:rsidR="008F4FCD" w:rsidRPr="007276FD" w:rsidRDefault="008F4FCD" w:rsidP="00935894">
            <w:pPr>
              <w:rPr>
                <w:rFonts w:asciiTheme="majorHAnsi" w:hAnsiTheme="majorHAnsi" w:cstheme="majorHAnsi"/>
                <w:b/>
                <w:bCs/>
                <w:sz w:val="16"/>
                <w:szCs w:val="16"/>
                <w:lang w:val="en-US"/>
              </w:rPr>
            </w:pPr>
          </w:p>
          <w:p w14:paraId="4FD6D943"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(Made visible by observations of intervention components </w:t>
            </w:r>
            <w:r w:rsidRPr="007276FD">
              <w:rPr>
                <w:rFonts w:asciiTheme="majorHAnsi" w:hAnsiTheme="majorHAnsi" w:cstheme="majorHAnsi"/>
                <w:b/>
                <w:bCs/>
                <w:i/>
                <w:iCs/>
                <w:sz w:val="16"/>
                <w:szCs w:val="16"/>
                <w:lang w:val="en-US"/>
              </w:rPr>
              <w:t>in use.</w:t>
            </w:r>
            <w:r w:rsidRPr="007276FD">
              <w:rPr>
                <w:rFonts w:asciiTheme="majorHAnsi" w:hAnsiTheme="majorHAnsi" w:cstheme="majorHAnsi"/>
                <w:b/>
                <w:bCs/>
                <w:sz w:val="16"/>
                <w:szCs w:val="16"/>
                <w:lang w:val="en-US"/>
              </w:rPr>
              <w:t>)</w:t>
            </w:r>
          </w:p>
          <w:p w14:paraId="0059C15A" w14:textId="77777777" w:rsidR="008F4FCD" w:rsidRPr="007276FD" w:rsidRDefault="008F4FCD" w:rsidP="00935894">
            <w:pPr>
              <w:rPr>
                <w:rFonts w:asciiTheme="majorHAnsi" w:hAnsiTheme="majorHAnsi" w:cstheme="majorHAnsi"/>
                <w:b/>
                <w:bCs/>
                <w:i/>
                <w:iCs/>
                <w:sz w:val="16"/>
                <w:szCs w:val="16"/>
                <w:lang w:val="en-US"/>
              </w:rPr>
            </w:pPr>
          </w:p>
          <w:p w14:paraId="0E5B3D4A" w14:textId="77777777" w:rsidR="008F4FCD" w:rsidRPr="007276FD" w:rsidRDefault="008F4FCD" w:rsidP="00935894">
            <w:pPr>
              <w:rPr>
                <w:rFonts w:asciiTheme="majorHAnsi" w:hAnsiTheme="majorHAnsi" w:cstheme="majorHAnsi"/>
                <w:b/>
                <w:bCs/>
                <w:sz w:val="16"/>
                <w:szCs w:val="16"/>
                <w:lang w:val="en-US"/>
              </w:rPr>
            </w:pPr>
          </w:p>
        </w:tc>
        <w:tc>
          <w:tcPr>
            <w:tcW w:w="1666" w:type="pct"/>
            <w:tcBorders>
              <w:top w:val="single" w:sz="4" w:space="0" w:color="auto"/>
              <w:left w:val="single" w:sz="4" w:space="0" w:color="auto"/>
              <w:bottom w:val="single" w:sz="4" w:space="0" w:color="auto"/>
              <w:right w:val="single" w:sz="4" w:space="0" w:color="auto"/>
            </w:tcBorders>
            <w:shd w:val="clear" w:color="auto" w:fill="auto"/>
          </w:tcPr>
          <w:p w14:paraId="5D4AFE13"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Meso-level processes through which care is translated and </w:t>
            </w:r>
            <w:r w:rsidRPr="007276FD">
              <w:rPr>
                <w:rFonts w:asciiTheme="majorHAnsi" w:hAnsiTheme="majorHAnsi" w:cstheme="majorHAnsi"/>
                <w:b/>
                <w:bCs/>
                <w:i/>
                <w:iCs/>
                <w:sz w:val="16"/>
                <w:szCs w:val="16"/>
                <w:lang w:val="en-US"/>
              </w:rPr>
              <w:t xml:space="preserve">delivered </w:t>
            </w:r>
            <w:r w:rsidRPr="007276FD">
              <w:rPr>
                <w:rFonts w:asciiTheme="majorHAnsi" w:hAnsiTheme="majorHAnsi" w:cstheme="majorHAnsi"/>
                <w:b/>
                <w:bCs/>
                <w:sz w:val="16"/>
                <w:szCs w:val="16"/>
                <w:lang w:val="en-US"/>
              </w:rPr>
              <w:t xml:space="preserve">in services settings </w:t>
            </w:r>
          </w:p>
          <w:p w14:paraId="2101FDF8" w14:textId="77777777" w:rsidR="008F4FCD" w:rsidRPr="007276FD" w:rsidRDefault="008F4FCD" w:rsidP="00935894">
            <w:pPr>
              <w:rPr>
                <w:rFonts w:asciiTheme="majorHAnsi" w:hAnsiTheme="majorHAnsi" w:cstheme="majorHAnsi"/>
                <w:b/>
                <w:bCs/>
                <w:sz w:val="16"/>
                <w:szCs w:val="16"/>
                <w:lang w:val="en-US"/>
              </w:rPr>
            </w:pPr>
          </w:p>
          <w:p w14:paraId="6478E1B1"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(Made visible by observations of intervention </w:t>
            </w:r>
            <w:r w:rsidRPr="007276FD">
              <w:rPr>
                <w:rFonts w:asciiTheme="majorHAnsi" w:hAnsiTheme="majorHAnsi" w:cstheme="majorHAnsi"/>
                <w:b/>
                <w:bCs/>
                <w:i/>
                <w:iCs/>
                <w:sz w:val="16"/>
                <w:szCs w:val="16"/>
                <w:lang w:val="en-US"/>
              </w:rPr>
              <w:t>outcomes</w:t>
            </w:r>
            <w:r w:rsidRPr="007276FD">
              <w:rPr>
                <w:rFonts w:asciiTheme="majorHAnsi" w:hAnsiTheme="majorHAnsi" w:cstheme="majorHAnsi"/>
                <w:b/>
                <w:bCs/>
                <w:sz w:val="16"/>
                <w:szCs w:val="16"/>
                <w:lang w:val="en-US"/>
              </w:rPr>
              <w:t>)</w:t>
            </w:r>
          </w:p>
        </w:tc>
      </w:tr>
      <w:tr w:rsidR="008F4FCD" w:rsidRPr="007276FD" w14:paraId="2FACA8EE" w14:textId="77777777" w:rsidTr="00935894">
        <w:tc>
          <w:tcPr>
            <w:tcW w:w="1668" w:type="pct"/>
            <w:tcBorders>
              <w:top w:val="single" w:sz="4" w:space="0" w:color="auto"/>
              <w:left w:val="single" w:sz="4" w:space="0" w:color="auto"/>
              <w:bottom w:val="nil"/>
              <w:right w:val="single" w:sz="4" w:space="0" w:color="auto"/>
            </w:tcBorders>
            <w:shd w:val="clear" w:color="auto" w:fill="auto"/>
            <w:hideMark/>
          </w:tcPr>
          <w:p w14:paraId="53C1FBED"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sz w:val="16"/>
                <w:szCs w:val="16"/>
                <w:lang w:val="en-US"/>
              </w:rPr>
              <w:t xml:space="preserve">Patients and caregivers are expected to demonstrate co-operative </w:t>
            </w:r>
            <w:r w:rsidRPr="007276FD">
              <w:rPr>
                <w:rFonts w:asciiTheme="majorHAnsi" w:hAnsiTheme="majorHAnsi" w:cstheme="majorHAnsi"/>
                <w:b/>
                <w:bCs/>
                <w:sz w:val="16"/>
                <w:szCs w:val="16"/>
                <w:lang w:val="en-US"/>
              </w:rPr>
              <w:t>active engagement</w:t>
            </w:r>
            <w:r w:rsidRPr="007276FD">
              <w:rPr>
                <w:rFonts w:asciiTheme="majorHAnsi" w:hAnsiTheme="majorHAnsi" w:cstheme="majorHAnsi"/>
                <w:sz w:val="16"/>
                <w:szCs w:val="16"/>
                <w:lang w:val="en-US"/>
              </w:rPr>
              <w:t xml:space="preserve"> in their interactions with health systems, providers, and practitioners.</w:t>
            </w:r>
          </w:p>
        </w:tc>
        <w:tc>
          <w:tcPr>
            <w:tcW w:w="1666" w:type="pct"/>
            <w:tcBorders>
              <w:top w:val="single" w:sz="4" w:space="0" w:color="auto"/>
              <w:left w:val="single" w:sz="4" w:space="0" w:color="auto"/>
              <w:bottom w:val="nil"/>
              <w:right w:val="single" w:sz="4" w:space="0" w:color="auto"/>
            </w:tcBorders>
            <w:shd w:val="clear" w:color="auto" w:fill="auto"/>
          </w:tcPr>
          <w:p w14:paraId="53EA95DA"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Interaction strategies </w:t>
            </w:r>
            <w:r w:rsidRPr="007276FD">
              <w:rPr>
                <w:rFonts w:asciiTheme="majorHAnsi" w:hAnsiTheme="majorHAnsi" w:cstheme="majorHAnsi"/>
                <w:sz w:val="16"/>
                <w:szCs w:val="16"/>
                <w:lang w:val="en-US"/>
              </w:rPr>
              <w:t>real and virtual relations between participants are mobilized in ways that define their assumed capabilities</w:t>
            </w:r>
          </w:p>
          <w:p w14:paraId="6983B578" w14:textId="77777777" w:rsidR="008F4FCD" w:rsidRPr="007276FD" w:rsidRDefault="008F4FCD" w:rsidP="00935894">
            <w:pPr>
              <w:rPr>
                <w:rFonts w:asciiTheme="majorHAnsi" w:hAnsiTheme="majorHAnsi" w:cstheme="majorHAnsi"/>
                <w:b/>
                <w:bCs/>
                <w:sz w:val="16"/>
                <w:szCs w:val="16"/>
                <w:lang w:val="en-US"/>
              </w:rPr>
            </w:pPr>
          </w:p>
        </w:tc>
        <w:tc>
          <w:tcPr>
            <w:tcW w:w="1666" w:type="pct"/>
            <w:tcBorders>
              <w:top w:val="single" w:sz="4" w:space="0" w:color="auto"/>
              <w:left w:val="single" w:sz="4" w:space="0" w:color="auto"/>
              <w:bottom w:val="nil"/>
              <w:right w:val="single" w:sz="4" w:space="0" w:color="auto"/>
            </w:tcBorders>
            <w:shd w:val="clear" w:color="auto" w:fill="auto"/>
          </w:tcPr>
          <w:p w14:paraId="7CD59E4C"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Relational change</w:t>
            </w:r>
            <w:r w:rsidRPr="007276FD">
              <w:rPr>
                <w:rFonts w:asciiTheme="majorHAnsi" w:hAnsiTheme="majorHAnsi" w:cstheme="majorHAnsi"/>
                <w:sz w:val="16"/>
                <w:szCs w:val="16"/>
                <w:lang w:val="en-US"/>
              </w:rPr>
              <w:t>: working with interventions and their components changes the ways services are organized.</w:t>
            </w:r>
          </w:p>
          <w:p w14:paraId="2A26C46B" w14:textId="77777777" w:rsidR="008F4FCD" w:rsidRPr="007276FD" w:rsidRDefault="008F4FCD" w:rsidP="00935894">
            <w:pPr>
              <w:rPr>
                <w:rFonts w:asciiTheme="majorHAnsi" w:hAnsiTheme="majorHAnsi" w:cstheme="majorHAnsi"/>
                <w:i/>
                <w:iCs/>
                <w:sz w:val="16"/>
                <w:szCs w:val="16"/>
                <w:lang w:val="en-US"/>
              </w:rPr>
            </w:pPr>
          </w:p>
          <w:p w14:paraId="2C4A0B9F" w14:textId="77777777" w:rsidR="008F4FCD" w:rsidRPr="007276FD" w:rsidRDefault="008F4FCD" w:rsidP="00935894">
            <w:pPr>
              <w:rPr>
                <w:rFonts w:asciiTheme="majorHAnsi" w:hAnsiTheme="majorHAnsi" w:cstheme="majorHAnsi"/>
                <w:sz w:val="16"/>
                <w:szCs w:val="16"/>
                <w:lang w:val="en-US"/>
              </w:rPr>
            </w:pPr>
          </w:p>
        </w:tc>
      </w:tr>
      <w:tr w:rsidR="008F4FCD" w:rsidRPr="007276FD" w14:paraId="28AA1303" w14:textId="77777777" w:rsidTr="00935894">
        <w:tc>
          <w:tcPr>
            <w:tcW w:w="1668" w:type="pct"/>
            <w:tcBorders>
              <w:top w:val="nil"/>
              <w:left w:val="single" w:sz="4" w:space="0" w:color="auto"/>
              <w:bottom w:val="single" w:sz="4" w:space="0" w:color="auto"/>
              <w:right w:val="single" w:sz="4" w:space="0" w:color="auto"/>
            </w:tcBorders>
            <w:shd w:val="clear" w:color="auto" w:fill="auto"/>
            <w:hideMark/>
          </w:tcPr>
          <w:p w14:paraId="0DD987F5"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Patients with COPD reported how elements of treatment that supported self-management (…) provided a much needed sense of control over their condition (…) Yet, it was evident how fragile this sense of control might be, easily undermined by structural disadvantages such as transitions between healthcare institutions and lack of communication from and between HCPs </w:t>
            </w:r>
            <w:r>
              <w:rPr>
                <w:rFonts w:asciiTheme="majorHAnsi" w:hAnsiTheme="majorHAnsi" w:cstheme="majorHAnsi"/>
                <w:noProof/>
                <w:sz w:val="16"/>
                <w:szCs w:val="16"/>
                <w:lang w:val="en-US"/>
              </w:rPr>
              <w:t>[106]</w:t>
            </w:r>
          </w:p>
        </w:tc>
        <w:tc>
          <w:tcPr>
            <w:tcW w:w="1666" w:type="pct"/>
            <w:tcBorders>
              <w:top w:val="nil"/>
              <w:left w:val="single" w:sz="4" w:space="0" w:color="auto"/>
              <w:bottom w:val="single" w:sz="4" w:space="0" w:color="auto"/>
              <w:right w:val="single" w:sz="4" w:space="0" w:color="auto"/>
            </w:tcBorders>
            <w:shd w:val="clear" w:color="auto" w:fill="auto"/>
          </w:tcPr>
          <w:p w14:paraId="6D417F25"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Example:</w:t>
            </w:r>
            <w:r w:rsidRPr="007276FD">
              <w:rPr>
                <w:rFonts w:asciiTheme="majorHAnsi" w:hAnsiTheme="majorHAnsi" w:cstheme="majorHAnsi"/>
                <w:sz w:val="16"/>
                <w:szCs w:val="16"/>
                <w:lang w:val="en-US"/>
              </w:rPr>
              <w:t xml:space="preserve"> Compatibility of [decision-tools] in current practice and — at an organizational level — was a</w:t>
            </w:r>
          </w:p>
          <w:p w14:paraId="04B790AD"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sz w:val="16"/>
                <w:szCs w:val="16"/>
                <w:lang w:val="en-US"/>
              </w:rPr>
              <w:t xml:space="preserve">common barrier across all four studies. The barriers occurred at the interpersonal, clinical, and health-system levels. Introducing the tool disrupted the consultation, with GPs reporting feeling a loss of control. At the clinical level, additional tasks and time pressures impacted clinical flow </w:t>
            </w:r>
            <w:r>
              <w:rPr>
                <w:rFonts w:asciiTheme="majorHAnsi" w:hAnsiTheme="majorHAnsi" w:cstheme="majorHAnsi"/>
                <w:noProof/>
                <w:sz w:val="16"/>
                <w:szCs w:val="16"/>
                <w:lang w:val="en-US"/>
              </w:rPr>
              <w:t>[89]</w:t>
            </w:r>
          </w:p>
          <w:p w14:paraId="1135F56C" w14:textId="77777777" w:rsidR="008F4FCD" w:rsidRPr="007276FD" w:rsidRDefault="008F4FCD" w:rsidP="00935894">
            <w:pPr>
              <w:rPr>
                <w:rFonts w:asciiTheme="majorHAnsi" w:hAnsiTheme="majorHAnsi" w:cstheme="majorHAnsi"/>
                <w:b/>
                <w:bCs/>
                <w:sz w:val="16"/>
                <w:szCs w:val="16"/>
                <w:lang w:val="en-US"/>
              </w:rPr>
            </w:pPr>
          </w:p>
        </w:tc>
        <w:tc>
          <w:tcPr>
            <w:tcW w:w="1666" w:type="pct"/>
            <w:tcBorders>
              <w:top w:val="nil"/>
              <w:left w:val="single" w:sz="4" w:space="0" w:color="auto"/>
              <w:bottom w:val="single" w:sz="4" w:space="0" w:color="auto"/>
              <w:right w:val="single" w:sz="4" w:space="0" w:color="auto"/>
            </w:tcBorders>
            <w:shd w:val="clear" w:color="auto" w:fill="auto"/>
          </w:tcPr>
          <w:p w14:paraId="5E14E907"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Example:</w:t>
            </w:r>
            <w:r w:rsidRPr="007276FD">
              <w:rPr>
                <w:rFonts w:asciiTheme="majorHAnsi" w:hAnsiTheme="majorHAnsi" w:cstheme="majorHAnsi"/>
                <w:sz w:val="16"/>
                <w:szCs w:val="16"/>
                <w:lang w:val="en-US"/>
              </w:rPr>
              <w:t xml:space="preserve"> Electronic consultations were considered more suitable for certain patient groups with discrete, “straightforward,” or familiar ongoing treatment queries (…) As a result, some health care professionals expressed concern that patient groups including those with long-term conditions, multimorbidity, and/or mental health problems would be disadvantaged or unintentionally excluded from electronic consultation opportunities </w:t>
            </w:r>
            <w:r>
              <w:rPr>
                <w:rFonts w:asciiTheme="majorHAnsi" w:hAnsiTheme="majorHAnsi" w:cstheme="majorHAnsi"/>
                <w:noProof/>
                <w:sz w:val="16"/>
                <w:szCs w:val="16"/>
                <w:lang w:val="en-US"/>
              </w:rPr>
              <w:t>[87]</w:t>
            </w:r>
          </w:p>
          <w:p w14:paraId="633CA59B" w14:textId="77777777" w:rsidR="008F4FCD" w:rsidRPr="007276FD" w:rsidRDefault="008F4FCD" w:rsidP="00935894">
            <w:pPr>
              <w:rPr>
                <w:rFonts w:asciiTheme="majorHAnsi" w:hAnsiTheme="majorHAnsi" w:cstheme="majorHAnsi"/>
                <w:b/>
                <w:bCs/>
                <w:sz w:val="16"/>
                <w:szCs w:val="16"/>
                <w:lang w:val="en-US"/>
              </w:rPr>
            </w:pPr>
          </w:p>
        </w:tc>
      </w:tr>
      <w:tr w:rsidR="008F4FCD" w:rsidRPr="007276FD" w14:paraId="4D306FFC" w14:textId="77777777" w:rsidTr="00935894">
        <w:tc>
          <w:tcPr>
            <w:tcW w:w="1668" w:type="pct"/>
            <w:tcBorders>
              <w:top w:val="single" w:sz="4" w:space="0" w:color="auto"/>
              <w:left w:val="single" w:sz="4" w:space="0" w:color="auto"/>
              <w:bottom w:val="nil"/>
              <w:right w:val="single" w:sz="4" w:space="0" w:color="auto"/>
            </w:tcBorders>
            <w:shd w:val="clear" w:color="auto" w:fill="auto"/>
            <w:hideMark/>
          </w:tcPr>
          <w:p w14:paraId="1FA81C8E"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sz w:val="16"/>
                <w:szCs w:val="16"/>
                <w:lang w:val="en-US"/>
              </w:rPr>
              <w:t xml:space="preserve">Patients and caregivers are expected to show </w:t>
            </w:r>
            <w:r w:rsidRPr="007276FD">
              <w:rPr>
                <w:rFonts w:asciiTheme="majorHAnsi" w:hAnsiTheme="majorHAnsi" w:cstheme="majorHAnsi"/>
                <w:b/>
                <w:bCs/>
                <w:sz w:val="16"/>
                <w:szCs w:val="16"/>
                <w:lang w:val="en-US"/>
              </w:rPr>
              <w:t>resourcefulness</w:t>
            </w:r>
            <w:r w:rsidRPr="007276FD">
              <w:rPr>
                <w:rFonts w:asciiTheme="majorHAnsi" w:hAnsiTheme="majorHAnsi" w:cstheme="majorHAnsi"/>
                <w:sz w:val="16"/>
                <w:szCs w:val="16"/>
                <w:lang w:val="en-US"/>
              </w:rPr>
              <w:t xml:space="preserve">, able to operationalize knowledge and practice and link themselves to changing patterns of service provision </w:t>
            </w:r>
          </w:p>
        </w:tc>
        <w:tc>
          <w:tcPr>
            <w:tcW w:w="1666" w:type="pct"/>
            <w:tcBorders>
              <w:top w:val="single" w:sz="4" w:space="0" w:color="auto"/>
              <w:left w:val="single" w:sz="4" w:space="0" w:color="auto"/>
              <w:bottom w:val="nil"/>
              <w:right w:val="single" w:sz="4" w:space="0" w:color="auto"/>
            </w:tcBorders>
            <w:shd w:val="clear" w:color="auto" w:fill="auto"/>
            <w:hideMark/>
          </w:tcPr>
          <w:p w14:paraId="0F5C2B7C"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Delegated Accountabilities </w:t>
            </w:r>
            <w:r w:rsidRPr="007276FD">
              <w:rPr>
                <w:rFonts w:asciiTheme="majorHAnsi" w:hAnsiTheme="majorHAnsi" w:cstheme="majorHAnsi"/>
                <w:sz w:val="16"/>
                <w:szCs w:val="16"/>
                <w:lang w:val="en-US"/>
              </w:rPr>
              <w:t>formal and informal changes in norms and roles, information and material resources, that are expected to shape practice and participants’ delegated accountabilities</w:t>
            </w:r>
          </w:p>
        </w:tc>
        <w:tc>
          <w:tcPr>
            <w:tcW w:w="1666" w:type="pct"/>
            <w:tcBorders>
              <w:top w:val="single" w:sz="4" w:space="0" w:color="auto"/>
              <w:left w:val="single" w:sz="4" w:space="0" w:color="auto"/>
              <w:bottom w:val="nil"/>
              <w:right w:val="single" w:sz="4" w:space="0" w:color="auto"/>
            </w:tcBorders>
            <w:shd w:val="clear" w:color="auto" w:fill="auto"/>
            <w:hideMark/>
          </w:tcPr>
          <w:p w14:paraId="5DFCFADA"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Normative change</w:t>
            </w:r>
            <w:r w:rsidRPr="007276FD">
              <w:rPr>
                <w:rFonts w:asciiTheme="majorHAnsi" w:hAnsiTheme="majorHAnsi" w:cstheme="majorHAnsi"/>
                <w:sz w:val="16"/>
                <w:szCs w:val="16"/>
                <w:lang w:val="en-US"/>
              </w:rPr>
              <w:t xml:space="preserve">: working with interventions and their components change the norms, rules and resources </w:t>
            </w:r>
            <w:r w:rsidRPr="007276FD">
              <w:rPr>
                <w:rFonts w:asciiTheme="majorHAnsi" w:hAnsiTheme="majorHAnsi" w:cstheme="majorHAnsi"/>
                <w:i/>
                <w:iCs/>
                <w:sz w:val="16"/>
                <w:szCs w:val="16"/>
                <w:lang w:val="en-US"/>
              </w:rPr>
              <w:t>that govern action </w:t>
            </w:r>
          </w:p>
        </w:tc>
      </w:tr>
      <w:tr w:rsidR="008F4FCD" w:rsidRPr="007276FD" w14:paraId="32A9E77C" w14:textId="77777777" w:rsidTr="00935894">
        <w:tc>
          <w:tcPr>
            <w:tcW w:w="1668" w:type="pct"/>
            <w:tcBorders>
              <w:top w:val="nil"/>
              <w:left w:val="single" w:sz="4" w:space="0" w:color="auto"/>
              <w:bottom w:val="single" w:sz="4" w:space="0" w:color="auto"/>
              <w:right w:val="single" w:sz="4" w:space="0" w:color="auto"/>
            </w:tcBorders>
            <w:shd w:val="clear" w:color="auto" w:fill="auto"/>
          </w:tcPr>
          <w:p w14:paraId="5644FAE0" w14:textId="77777777" w:rsidR="008F4FCD" w:rsidRPr="007276FD" w:rsidRDefault="008F4FCD" w:rsidP="00935894">
            <w:pPr>
              <w:rPr>
                <w:rFonts w:asciiTheme="majorHAnsi" w:hAnsiTheme="majorHAnsi" w:cstheme="majorHAnsi"/>
                <w:b/>
                <w:bCs/>
                <w:sz w:val="16"/>
                <w:szCs w:val="16"/>
                <w:lang w:val="en-US"/>
              </w:rPr>
            </w:pPr>
          </w:p>
          <w:p w14:paraId="2F594588"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Conversely, in COPD, patients are expected to exert agency over their own condition, ‘empowered’ to self-manage, integrating the demands of the treatment workload into their everyday life. Patients have to identify their own treatment pathway, navigating between institutions, in healthcare systems that are not set up to meet the needs of their uncertain and often lengthy disease trajectory </w:t>
            </w:r>
            <w:r>
              <w:rPr>
                <w:rFonts w:asciiTheme="majorHAnsi" w:hAnsiTheme="majorHAnsi" w:cstheme="majorHAnsi"/>
                <w:noProof/>
                <w:sz w:val="16"/>
                <w:szCs w:val="16"/>
                <w:lang w:val="en-US"/>
              </w:rPr>
              <w:t>[106]</w:t>
            </w:r>
          </w:p>
        </w:tc>
        <w:tc>
          <w:tcPr>
            <w:tcW w:w="1666" w:type="pct"/>
            <w:tcBorders>
              <w:top w:val="nil"/>
              <w:left w:val="single" w:sz="4" w:space="0" w:color="auto"/>
              <w:bottom w:val="single" w:sz="4" w:space="0" w:color="auto"/>
              <w:right w:val="single" w:sz="4" w:space="0" w:color="auto"/>
            </w:tcBorders>
            <w:shd w:val="clear" w:color="auto" w:fill="auto"/>
          </w:tcPr>
          <w:p w14:paraId="0ECD4A4D" w14:textId="77777777" w:rsidR="008F4FCD" w:rsidRPr="007276FD" w:rsidRDefault="008F4FCD" w:rsidP="00935894">
            <w:pPr>
              <w:rPr>
                <w:rFonts w:asciiTheme="majorHAnsi" w:hAnsiTheme="majorHAnsi" w:cstheme="majorHAnsi"/>
                <w:b/>
                <w:bCs/>
                <w:sz w:val="16"/>
                <w:szCs w:val="16"/>
                <w:lang w:val="en-US"/>
              </w:rPr>
            </w:pPr>
          </w:p>
          <w:p w14:paraId="74A821EB"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Conceivably, any form of serious sanction may impact on team dynamics and professional relations. On the sanction pyramid, ‘soft’ regulation in the form of monitoring compliance through audit and reporting was evident in several studies (…). Although this mechanism of sanction proved to be reasonably effective, the reporting processes (i.e. publication of non-compliant individuals’ names) used in these studies was not explicit </w:t>
            </w:r>
            <w:r>
              <w:rPr>
                <w:rFonts w:asciiTheme="majorHAnsi" w:hAnsiTheme="majorHAnsi" w:cstheme="majorHAnsi"/>
                <w:noProof/>
                <w:sz w:val="16"/>
                <w:szCs w:val="16"/>
                <w:lang w:val="en-US"/>
              </w:rPr>
              <w:t>[98]</w:t>
            </w:r>
            <w:r w:rsidRPr="007276FD">
              <w:rPr>
                <w:rFonts w:asciiTheme="majorHAnsi" w:hAnsiTheme="majorHAnsi" w:cstheme="majorHAnsi"/>
                <w:sz w:val="16"/>
                <w:szCs w:val="16"/>
                <w:lang w:val="en-US"/>
              </w:rPr>
              <w:t>.</w:t>
            </w:r>
          </w:p>
        </w:tc>
        <w:tc>
          <w:tcPr>
            <w:tcW w:w="1666" w:type="pct"/>
            <w:tcBorders>
              <w:top w:val="nil"/>
              <w:left w:val="single" w:sz="4" w:space="0" w:color="auto"/>
              <w:bottom w:val="single" w:sz="4" w:space="0" w:color="auto"/>
              <w:right w:val="single" w:sz="4" w:space="0" w:color="auto"/>
            </w:tcBorders>
            <w:shd w:val="clear" w:color="auto" w:fill="auto"/>
          </w:tcPr>
          <w:p w14:paraId="712A2C2E" w14:textId="77777777" w:rsidR="008F4FCD" w:rsidRPr="007276FD" w:rsidRDefault="008F4FCD" w:rsidP="00935894">
            <w:pPr>
              <w:rPr>
                <w:rFonts w:asciiTheme="majorHAnsi" w:hAnsiTheme="majorHAnsi" w:cstheme="majorHAnsi"/>
                <w:b/>
                <w:bCs/>
                <w:sz w:val="16"/>
                <w:szCs w:val="16"/>
                <w:lang w:val="en-US"/>
              </w:rPr>
            </w:pPr>
          </w:p>
          <w:p w14:paraId="79EDCBA1"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Example</w:t>
            </w:r>
            <w:r w:rsidRPr="007276FD">
              <w:rPr>
                <w:rFonts w:asciiTheme="majorHAnsi" w:hAnsiTheme="majorHAnsi" w:cstheme="majorHAnsi"/>
                <w:sz w:val="16"/>
                <w:szCs w:val="16"/>
                <w:lang w:val="en-US"/>
              </w:rPr>
              <w:t xml:space="preserve">: Where problems did arise with physicians’ involvement in team working, it was evident that other professionals worked hard to address the issues. For example, pharmacists took steps to gain doctors’ trust rather than vice versa, there were expectation of nurses to take first steps to resolve problems with physicians, and when doctors didn’t like nurses prescribing, the nurses worked around this by being discreet: a strategy used to continue prescribing without causing too much concern among doctors. (…) </w:t>
            </w:r>
            <w:r w:rsidRPr="007276FD">
              <w:rPr>
                <w:rFonts w:asciiTheme="majorHAnsi" w:hAnsiTheme="majorHAnsi" w:cstheme="majorHAnsi"/>
                <w:sz w:val="16"/>
                <w:szCs w:val="16"/>
                <w:lang w:val="en-US"/>
              </w:rPr>
              <w:lastRenderedPageBreak/>
              <w:t xml:space="preserve">health professionals from a variety of disciplines work hard to manage interactional difficulties with doctors because it is considered so important to keep physicians on board–without them teams can “fall apart” </w:t>
            </w:r>
            <w:r>
              <w:rPr>
                <w:rFonts w:asciiTheme="majorHAnsi" w:hAnsiTheme="majorHAnsi" w:cstheme="majorHAnsi"/>
                <w:noProof/>
                <w:sz w:val="16"/>
                <w:szCs w:val="16"/>
                <w:lang w:val="en-US"/>
              </w:rPr>
              <w:t>[113]</w:t>
            </w:r>
          </w:p>
        </w:tc>
      </w:tr>
      <w:tr w:rsidR="008F4FCD" w:rsidRPr="007276FD" w14:paraId="2FF30394" w14:textId="77777777" w:rsidTr="00935894">
        <w:tc>
          <w:tcPr>
            <w:tcW w:w="1668" w:type="pct"/>
            <w:tcBorders>
              <w:top w:val="single" w:sz="4" w:space="0" w:color="auto"/>
              <w:left w:val="single" w:sz="4" w:space="0" w:color="auto"/>
              <w:bottom w:val="nil"/>
              <w:right w:val="single" w:sz="4" w:space="0" w:color="auto"/>
            </w:tcBorders>
            <w:shd w:val="clear" w:color="auto" w:fill="auto"/>
            <w:hideMark/>
          </w:tcPr>
          <w:p w14:paraId="3B224D99"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sz w:val="16"/>
                <w:szCs w:val="16"/>
                <w:lang w:val="en-US"/>
              </w:rPr>
              <w:lastRenderedPageBreak/>
              <w:t xml:space="preserve">Patients and caregivers are expected seek </w:t>
            </w:r>
            <w:r w:rsidRPr="007276FD">
              <w:rPr>
                <w:rFonts w:asciiTheme="majorHAnsi" w:hAnsiTheme="majorHAnsi" w:cstheme="majorHAnsi"/>
                <w:b/>
                <w:bCs/>
                <w:sz w:val="16"/>
                <w:szCs w:val="16"/>
                <w:lang w:val="en-US"/>
              </w:rPr>
              <w:t xml:space="preserve">expertise, </w:t>
            </w:r>
            <w:r w:rsidRPr="007276FD">
              <w:rPr>
                <w:rFonts w:asciiTheme="majorHAnsi" w:hAnsiTheme="majorHAnsi" w:cstheme="majorHAnsi"/>
                <w:sz w:val="16"/>
                <w:szCs w:val="16"/>
                <w:lang w:val="en-US"/>
              </w:rPr>
              <w:t xml:space="preserve">possessing condition and service specific knowledge and skills to accomplish effective participation in care </w:t>
            </w:r>
          </w:p>
        </w:tc>
        <w:tc>
          <w:tcPr>
            <w:tcW w:w="1666" w:type="pct"/>
            <w:tcBorders>
              <w:top w:val="single" w:sz="4" w:space="0" w:color="auto"/>
              <w:left w:val="single" w:sz="4" w:space="0" w:color="auto"/>
              <w:bottom w:val="nil"/>
              <w:right w:val="single" w:sz="4" w:space="0" w:color="auto"/>
            </w:tcBorders>
            <w:shd w:val="clear" w:color="auto" w:fill="auto"/>
          </w:tcPr>
          <w:p w14:paraId="2E07C059"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Intervention components </w:t>
            </w:r>
            <w:r w:rsidRPr="007276FD">
              <w:rPr>
                <w:rFonts w:asciiTheme="majorHAnsi" w:hAnsiTheme="majorHAnsi" w:cstheme="majorHAnsi"/>
                <w:sz w:val="16"/>
                <w:szCs w:val="16"/>
                <w:lang w:val="en-US"/>
              </w:rPr>
              <w:t>concrete and virtual ensembles of beliefs, behaviors, and material practices are mobilization of objects and procedures.</w:t>
            </w:r>
          </w:p>
          <w:p w14:paraId="7A6AE108" w14:textId="77777777" w:rsidR="008F4FCD" w:rsidRPr="007276FD" w:rsidRDefault="008F4FCD" w:rsidP="00935894">
            <w:pPr>
              <w:rPr>
                <w:rFonts w:asciiTheme="majorHAnsi" w:hAnsiTheme="majorHAnsi" w:cstheme="majorHAnsi"/>
                <w:b/>
                <w:bCs/>
                <w:sz w:val="16"/>
                <w:szCs w:val="16"/>
                <w:lang w:val="en-US"/>
              </w:rPr>
            </w:pPr>
          </w:p>
        </w:tc>
        <w:tc>
          <w:tcPr>
            <w:tcW w:w="1666" w:type="pct"/>
            <w:tcBorders>
              <w:top w:val="single" w:sz="4" w:space="0" w:color="auto"/>
              <w:left w:val="single" w:sz="4" w:space="0" w:color="auto"/>
              <w:bottom w:val="nil"/>
              <w:right w:val="single" w:sz="4" w:space="0" w:color="auto"/>
            </w:tcBorders>
            <w:shd w:val="clear" w:color="auto" w:fill="auto"/>
          </w:tcPr>
          <w:p w14:paraId="7147F3C7"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Performative change</w:t>
            </w:r>
            <w:r w:rsidRPr="007276FD">
              <w:rPr>
                <w:rFonts w:asciiTheme="majorHAnsi" w:hAnsiTheme="majorHAnsi" w:cstheme="majorHAnsi"/>
                <w:sz w:val="16"/>
                <w:szCs w:val="16"/>
                <w:lang w:val="en-US"/>
              </w:rPr>
              <w:t>: working with interventions and their components changes the ways that they are operationalized, enacted, reproduced, over time and across settings</w:t>
            </w:r>
          </w:p>
          <w:p w14:paraId="70600D81" w14:textId="77777777" w:rsidR="008F4FCD" w:rsidRPr="007276FD" w:rsidRDefault="008F4FCD" w:rsidP="00935894">
            <w:pPr>
              <w:rPr>
                <w:rFonts w:asciiTheme="majorHAnsi" w:hAnsiTheme="majorHAnsi" w:cstheme="majorHAnsi"/>
                <w:sz w:val="16"/>
                <w:szCs w:val="16"/>
                <w:lang w:val="en-US"/>
              </w:rPr>
            </w:pPr>
          </w:p>
        </w:tc>
      </w:tr>
      <w:tr w:rsidR="008F4FCD" w:rsidRPr="007276FD" w14:paraId="56622A32" w14:textId="77777777" w:rsidTr="00935894">
        <w:tc>
          <w:tcPr>
            <w:tcW w:w="1668" w:type="pct"/>
            <w:tcBorders>
              <w:top w:val="nil"/>
              <w:left w:val="single" w:sz="4" w:space="0" w:color="auto"/>
              <w:bottom w:val="single" w:sz="4" w:space="0" w:color="auto"/>
              <w:right w:val="single" w:sz="4" w:space="0" w:color="auto"/>
            </w:tcBorders>
            <w:shd w:val="clear" w:color="auto" w:fill="auto"/>
            <w:hideMark/>
          </w:tcPr>
          <w:p w14:paraId="18DD0608"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shd w:val="clear" w:color="auto" w:fill="FFFFFF"/>
                <w:lang w:val="en-US"/>
              </w:rPr>
              <w:t xml:space="preserve">Reviews also offered evidence of adaptive processes in the face of disease progression and the disruptions that stem from this. Such adaptations included the accumulation of expertise and associated self-management strategies developed over time. Patients sought to develop strategies that would ensure better symptom control, and that increased the duration of periods between acute episodes and reduced the impact of acute episodes. Poor quality self-management instruction or interactions with health professionals could have adverse effects, especially because patients were sensitive to evidence of clinicians' doubts about the value of different self-management strategies </w:t>
            </w:r>
            <w:r>
              <w:rPr>
                <w:rFonts w:asciiTheme="majorHAnsi" w:hAnsiTheme="majorHAnsi" w:cstheme="majorHAnsi"/>
                <w:noProof/>
                <w:sz w:val="16"/>
                <w:szCs w:val="16"/>
                <w:shd w:val="clear" w:color="auto" w:fill="FFFFFF"/>
                <w:lang w:val="en-US"/>
              </w:rPr>
              <w:t>[31]</w:t>
            </w:r>
          </w:p>
        </w:tc>
        <w:tc>
          <w:tcPr>
            <w:tcW w:w="1666" w:type="pct"/>
            <w:tcBorders>
              <w:top w:val="nil"/>
              <w:left w:val="single" w:sz="4" w:space="0" w:color="auto"/>
              <w:bottom w:val="single" w:sz="4" w:space="0" w:color="auto"/>
              <w:right w:val="single" w:sz="4" w:space="0" w:color="auto"/>
            </w:tcBorders>
            <w:shd w:val="clear" w:color="auto" w:fill="auto"/>
            <w:hideMark/>
          </w:tcPr>
          <w:p w14:paraId="723D1C66"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analysis of the literature suggests that three subsystems within the afferent component of EWS support these processes: the detection of signs deterioration; the planning needed to ensure teams are ready to act when deterioration is detected; and the initiation of timely action. While we have focused on the afferent component, it is important to remember that all elements of the overall safety system (efferent component, process improvement and administrative arm) need to be working in concert in order to maintain an optimal pediatric early warning system </w:t>
            </w:r>
            <w:r>
              <w:rPr>
                <w:rFonts w:asciiTheme="majorHAnsi" w:hAnsiTheme="majorHAnsi" w:cstheme="majorHAnsi"/>
                <w:noProof/>
                <w:sz w:val="16"/>
                <w:szCs w:val="16"/>
                <w:lang w:val="en-US"/>
              </w:rPr>
              <w:t>[100]</w:t>
            </w:r>
          </w:p>
        </w:tc>
        <w:tc>
          <w:tcPr>
            <w:tcW w:w="1666" w:type="pct"/>
            <w:tcBorders>
              <w:top w:val="nil"/>
              <w:left w:val="single" w:sz="4" w:space="0" w:color="auto"/>
              <w:bottom w:val="single" w:sz="4" w:space="0" w:color="auto"/>
              <w:right w:val="single" w:sz="4" w:space="0" w:color="auto"/>
            </w:tcBorders>
            <w:shd w:val="clear" w:color="auto" w:fill="auto"/>
            <w:hideMark/>
          </w:tcPr>
          <w:p w14:paraId="2D775770"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The operationalization of transfer home brought HCPs together from critical care, palliative or hospice and community care in respect of implementation of transfer, withdrawal of treatment and home care (…) Transition from intensive care to home care and integration of Health Care Professionals’ formal care and families’ informal care co-existed in this medical event. In practice, transfer home was largely carried out by critical care nurses (…) In one case the initial transfer home was accompanied by a doctor (…). In the UK, palliative care teams were reported to undertake the transfer of dying patients (…) Following the establishment of guidance for transfer and once training was undertaken; responsibility for carrying out the transfer process was mostly allocated to CCU nurses </w:t>
            </w:r>
            <w:r>
              <w:rPr>
                <w:rFonts w:asciiTheme="majorHAnsi" w:hAnsiTheme="majorHAnsi" w:cstheme="majorHAnsi"/>
                <w:noProof/>
                <w:sz w:val="16"/>
                <w:szCs w:val="16"/>
                <w:lang w:val="en-US"/>
              </w:rPr>
              <w:t>[105]</w:t>
            </w:r>
          </w:p>
        </w:tc>
      </w:tr>
      <w:tr w:rsidR="008F4FCD" w:rsidRPr="007276FD" w14:paraId="6DA4F273" w14:textId="77777777" w:rsidTr="00935894">
        <w:tc>
          <w:tcPr>
            <w:tcW w:w="1668" w:type="pct"/>
            <w:tcBorders>
              <w:top w:val="single" w:sz="4" w:space="0" w:color="auto"/>
              <w:left w:val="single" w:sz="4" w:space="0" w:color="auto"/>
              <w:bottom w:val="nil"/>
              <w:right w:val="single" w:sz="4" w:space="0" w:color="auto"/>
            </w:tcBorders>
            <w:shd w:val="clear" w:color="auto" w:fill="auto"/>
            <w:hideMark/>
          </w:tcPr>
          <w:p w14:paraId="0EF99716"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sz w:val="16"/>
                <w:szCs w:val="16"/>
                <w:lang w:val="en-US"/>
              </w:rPr>
              <w:t xml:space="preserve">Patients and caregivers and practitioners are expected to be </w:t>
            </w:r>
            <w:r w:rsidRPr="007276FD">
              <w:rPr>
                <w:rFonts w:asciiTheme="majorHAnsi" w:hAnsiTheme="majorHAnsi" w:cstheme="majorHAnsi"/>
                <w:b/>
                <w:bCs/>
                <w:sz w:val="16"/>
                <w:szCs w:val="16"/>
                <w:lang w:val="en-US"/>
              </w:rPr>
              <w:t>prudent</w:t>
            </w:r>
            <w:r w:rsidRPr="007276FD">
              <w:rPr>
                <w:rFonts w:asciiTheme="majorHAnsi" w:hAnsiTheme="majorHAnsi" w:cstheme="majorHAnsi"/>
                <w:sz w:val="16"/>
                <w:szCs w:val="16"/>
                <w:lang w:val="en-US"/>
              </w:rPr>
              <w:t xml:space="preserve"> and to minimize the calls they make on formal healthcare provision</w:t>
            </w:r>
          </w:p>
        </w:tc>
        <w:tc>
          <w:tcPr>
            <w:tcW w:w="1666" w:type="pct"/>
            <w:tcBorders>
              <w:top w:val="single" w:sz="4" w:space="0" w:color="auto"/>
              <w:left w:val="single" w:sz="4" w:space="0" w:color="auto"/>
              <w:bottom w:val="nil"/>
              <w:right w:val="single" w:sz="4" w:space="0" w:color="auto"/>
            </w:tcBorders>
            <w:shd w:val="clear" w:color="auto" w:fill="auto"/>
          </w:tcPr>
          <w:p w14:paraId="1825CF15"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 xml:space="preserve">Organizing logics </w:t>
            </w:r>
            <w:r w:rsidRPr="007276FD">
              <w:rPr>
                <w:rFonts w:asciiTheme="majorHAnsi" w:hAnsiTheme="majorHAnsi" w:cstheme="majorHAnsi"/>
                <w:sz w:val="16"/>
                <w:szCs w:val="16"/>
                <w:lang w:val="en-US"/>
              </w:rPr>
              <w:t>patterns of formal and informal agreements and values expected to give cognitive authority to participants and assign meaning to their actions</w:t>
            </w:r>
            <w:r w:rsidRPr="007276FD">
              <w:rPr>
                <w:rFonts w:asciiTheme="majorHAnsi" w:hAnsiTheme="majorHAnsi" w:cstheme="majorHAnsi"/>
                <w:b/>
                <w:bCs/>
                <w:sz w:val="16"/>
                <w:szCs w:val="16"/>
                <w:lang w:val="en-US"/>
              </w:rPr>
              <w:t xml:space="preserve"> </w:t>
            </w:r>
          </w:p>
          <w:p w14:paraId="7D8612EB" w14:textId="77777777" w:rsidR="008F4FCD" w:rsidRPr="007276FD" w:rsidRDefault="008F4FCD" w:rsidP="00935894">
            <w:pPr>
              <w:rPr>
                <w:rFonts w:asciiTheme="majorHAnsi" w:hAnsiTheme="majorHAnsi" w:cstheme="majorHAnsi"/>
                <w:b/>
                <w:bCs/>
                <w:sz w:val="16"/>
                <w:szCs w:val="16"/>
                <w:lang w:val="en-US"/>
              </w:rPr>
            </w:pPr>
          </w:p>
        </w:tc>
        <w:tc>
          <w:tcPr>
            <w:tcW w:w="1666" w:type="pct"/>
            <w:tcBorders>
              <w:top w:val="single" w:sz="4" w:space="0" w:color="auto"/>
              <w:left w:val="single" w:sz="4" w:space="0" w:color="auto"/>
              <w:bottom w:val="nil"/>
              <w:right w:val="single" w:sz="4" w:space="0" w:color="auto"/>
            </w:tcBorders>
            <w:shd w:val="clear" w:color="auto" w:fill="auto"/>
          </w:tcPr>
          <w:p w14:paraId="1B90CDB7" w14:textId="77777777" w:rsidR="008F4FCD" w:rsidRPr="007276FD" w:rsidRDefault="008F4FCD" w:rsidP="00935894">
            <w:pPr>
              <w:rPr>
                <w:rFonts w:asciiTheme="majorHAnsi" w:hAnsiTheme="majorHAnsi" w:cstheme="majorHAnsi"/>
                <w:sz w:val="16"/>
                <w:szCs w:val="16"/>
                <w:lang w:val="en-US"/>
              </w:rPr>
            </w:pPr>
            <w:r w:rsidRPr="007276FD">
              <w:rPr>
                <w:rFonts w:asciiTheme="majorHAnsi" w:hAnsiTheme="majorHAnsi" w:cstheme="majorHAnsi"/>
                <w:b/>
                <w:bCs/>
                <w:sz w:val="16"/>
                <w:szCs w:val="16"/>
                <w:lang w:val="en-US"/>
              </w:rPr>
              <w:t>Sustainment</w:t>
            </w:r>
            <w:r w:rsidRPr="007276FD">
              <w:rPr>
                <w:rFonts w:asciiTheme="majorHAnsi" w:hAnsiTheme="majorHAnsi" w:cstheme="majorHAnsi"/>
                <w:sz w:val="16"/>
                <w:szCs w:val="16"/>
                <w:lang w:val="en-US"/>
              </w:rPr>
              <w:t xml:space="preserve">: working with interventions and their components creates value as they are routinely incorporated in practice.   </w:t>
            </w:r>
          </w:p>
          <w:p w14:paraId="1D30A133" w14:textId="77777777" w:rsidR="008F4FCD" w:rsidRPr="007276FD" w:rsidRDefault="008F4FCD" w:rsidP="00935894">
            <w:pPr>
              <w:rPr>
                <w:rFonts w:asciiTheme="majorHAnsi" w:hAnsiTheme="majorHAnsi" w:cstheme="majorHAnsi"/>
                <w:sz w:val="16"/>
                <w:szCs w:val="16"/>
                <w:lang w:val="en-US"/>
              </w:rPr>
            </w:pPr>
          </w:p>
        </w:tc>
      </w:tr>
      <w:tr w:rsidR="008F4FCD" w:rsidRPr="007276FD" w14:paraId="496D854A" w14:textId="77777777" w:rsidTr="00935894">
        <w:tc>
          <w:tcPr>
            <w:tcW w:w="1668" w:type="pct"/>
            <w:tcBorders>
              <w:top w:val="nil"/>
              <w:left w:val="single" w:sz="4" w:space="0" w:color="auto"/>
              <w:bottom w:val="single" w:sz="4" w:space="0" w:color="auto"/>
              <w:right w:val="single" w:sz="4" w:space="0" w:color="auto"/>
            </w:tcBorders>
            <w:shd w:val="clear" w:color="auto" w:fill="auto"/>
            <w:hideMark/>
          </w:tcPr>
          <w:p w14:paraId="6BF60635"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Some people saw online self-diagnosis as a method to increase their knowledge, making them better prepared and equipped for health consultations. Having a better understanding of symptoms and conditions was thought to help them to engage more effectively with HCP’s. It was also seen as a way to help them to make the most of the short time they have in consultations so they know what questions to ask </w:t>
            </w:r>
            <w:r>
              <w:rPr>
                <w:rFonts w:asciiTheme="majorHAnsi" w:hAnsiTheme="majorHAnsi" w:cstheme="majorHAnsi"/>
                <w:noProof/>
                <w:sz w:val="16"/>
                <w:szCs w:val="16"/>
                <w:lang w:val="en-US"/>
              </w:rPr>
              <w:t>[92]</w:t>
            </w:r>
          </w:p>
        </w:tc>
        <w:tc>
          <w:tcPr>
            <w:tcW w:w="1666" w:type="pct"/>
            <w:tcBorders>
              <w:top w:val="nil"/>
              <w:left w:val="single" w:sz="4" w:space="0" w:color="auto"/>
              <w:bottom w:val="single" w:sz="4" w:space="0" w:color="auto"/>
              <w:right w:val="single" w:sz="4" w:space="0" w:color="auto"/>
            </w:tcBorders>
            <w:shd w:val="clear" w:color="auto" w:fill="auto"/>
            <w:hideMark/>
          </w:tcPr>
          <w:p w14:paraId="585916C3"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The synergy created through collaboration and partnership working between commissioners and stakeholders (Context) promoted an integrated and agile service offering clinical expertise and enabling sustainability in the operation of the hospice at homey service (Mechanism). Hospice at home services were able to provide a sustainable service in order to continue its operation despite changes in local and national policy (Outcome) </w:t>
            </w:r>
            <w:r>
              <w:rPr>
                <w:rFonts w:asciiTheme="majorHAnsi" w:hAnsiTheme="majorHAnsi" w:cstheme="majorHAnsi"/>
                <w:noProof/>
                <w:sz w:val="16"/>
                <w:szCs w:val="16"/>
                <w:lang w:val="en-US"/>
              </w:rPr>
              <w:t>[99]</w:t>
            </w:r>
            <w:r w:rsidRPr="007276FD">
              <w:rPr>
                <w:rFonts w:asciiTheme="majorHAnsi" w:hAnsiTheme="majorHAnsi" w:cstheme="majorHAnsi"/>
                <w:sz w:val="16"/>
                <w:szCs w:val="16"/>
                <w:lang w:val="en-US"/>
              </w:rPr>
              <w:t xml:space="preserve">. </w:t>
            </w:r>
          </w:p>
        </w:tc>
        <w:tc>
          <w:tcPr>
            <w:tcW w:w="1666" w:type="pct"/>
            <w:tcBorders>
              <w:top w:val="nil"/>
              <w:left w:val="single" w:sz="4" w:space="0" w:color="auto"/>
              <w:bottom w:val="single" w:sz="4" w:space="0" w:color="auto"/>
              <w:right w:val="single" w:sz="4" w:space="0" w:color="auto"/>
            </w:tcBorders>
            <w:shd w:val="clear" w:color="auto" w:fill="auto"/>
            <w:hideMark/>
          </w:tcPr>
          <w:p w14:paraId="6CCB2C40" w14:textId="77777777" w:rsidR="008F4FCD" w:rsidRPr="007276FD" w:rsidRDefault="008F4FCD" w:rsidP="00935894">
            <w:pPr>
              <w:rPr>
                <w:rFonts w:asciiTheme="majorHAnsi" w:hAnsiTheme="majorHAnsi" w:cstheme="majorHAnsi"/>
                <w:b/>
                <w:bCs/>
                <w:sz w:val="16"/>
                <w:szCs w:val="16"/>
                <w:lang w:val="en-US"/>
              </w:rPr>
            </w:pPr>
            <w:r w:rsidRPr="007276FD">
              <w:rPr>
                <w:rFonts w:asciiTheme="majorHAnsi" w:hAnsiTheme="majorHAnsi" w:cstheme="majorHAnsi"/>
                <w:b/>
                <w:bCs/>
                <w:sz w:val="16"/>
                <w:szCs w:val="16"/>
                <w:lang w:val="en-US"/>
              </w:rPr>
              <w:t xml:space="preserve">Example: </w:t>
            </w:r>
            <w:r w:rsidRPr="007276FD">
              <w:rPr>
                <w:rFonts w:asciiTheme="majorHAnsi" w:hAnsiTheme="majorHAnsi" w:cstheme="majorHAnsi"/>
                <w:sz w:val="16"/>
                <w:szCs w:val="16"/>
                <w:lang w:val="en-US"/>
              </w:rPr>
              <w:t xml:space="preserve">Outcomes from Lean implementations shifted to become the contexts for sustainability. That is, in some cases, there was a “ripple-effect” where outcomes from implementation served as facilitating or hindering contexts that triggered mechanisms for the sustainment or otherwise of Lean efforts </w:t>
            </w:r>
            <w:r>
              <w:rPr>
                <w:rFonts w:asciiTheme="majorHAnsi" w:hAnsiTheme="majorHAnsi" w:cstheme="majorHAnsi"/>
                <w:noProof/>
                <w:sz w:val="16"/>
                <w:szCs w:val="16"/>
                <w:lang w:val="en-US"/>
              </w:rPr>
              <w:t>[93]</w:t>
            </w:r>
          </w:p>
        </w:tc>
      </w:tr>
    </w:tbl>
    <w:p w14:paraId="098C3063" w14:textId="77777777" w:rsidR="00AC3A3A" w:rsidRDefault="00AC3A3A"/>
    <w:sectPr w:rsidR="00AC3A3A" w:rsidSect="008F4FC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FCD"/>
    <w:rsid w:val="00020ED3"/>
    <w:rsid w:val="002E1B2D"/>
    <w:rsid w:val="002F3C0C"/>
    <w:rsid w:val="0058201D"/>
    <w:rsid w:val="005E2AB9"/>
    <w:rsid w:val="00853C5D"/>
    <w:rsid w:val="008F4FCD"/>
    <w:rsid w:val="00AC3A3A"/>
    <w:rsid w:val="00DF0535"/>
    <w:rsid w:val="00E66B7E"/>
    <w:rsid w:val="00F07B7B"/>
    <w:rsid w:val="00F33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76F474F"/>
  <w15:chartTrackingRefBased/>
  <w15:docId w15:val="{7E565845-0A82-9D4C-A03C-683DB2B6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FCD"/>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1158</Words>
  <Characters>7244</Characters>
  <Application>Microsoft Office Word</Application>
  <DocSecurity>0</DocSecurity>
  <Lines>195</Lines>
  <Paragraphs>56</Paragraphs>
  <ScaleCrop>false</ScaleCrop>
  <Company/>
  <LinksUpToDate>false</LinksUpToDate>
  <CharactersWithSpaces>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Hillis</dc:creator>
  <cp:keywords/>
  <dc:description/>
  <cp:lastModifiedBy>Alice  Hillis</cp:lastModifiedBy>
  <cp:revision>2</cp:revision>
  <dcterms:created xsi:type="dcterms:W3CDTF">2023-06-08T16:30:00Z</dcterms:created>
  <dcterms:modified xsi:type="dcterms:W3CDTF">2023-06-08T16:35:00Z</dcterms:modified>
</cp:coreProperties>
</file>