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230A5" w14:textId="6E934C90" w:rsidR="00317F80" w:rsidRPr="007276FD" w:rsidRDefault="00D2407F" w:rsidP="00317F80">
      <w:pPr>
        <w:rPr>
          <w:b/>
          <w:bCs/>
          <w:lang w:val="en-US"/>
        </w:rPr>
      </w:pPr>
      <w:r>
        <w:rPr>
          <w:b/>
          <w:bCs/>
          <w:lang w:val="en-US"/>
        </w:rPr>
        <w:t>Additional file 3.</w:t>
      </w:r>
      <w:r w:rsidR="00317F80" w:rsidRPr="007276FD">
        <w:rPr>
          <w:b/>
          <w:bCs/>
          <w:lang w:val="en-US"/>
        </w:rPr>
        <w:t xml:space="preserve"> Coding matrix: generative and design principles with examples </w:t>
      </w:r>
    </w:p>
    <w:tbl>
      <w:tblPr>
        <w:tblW w:w="5000" w:type="pct"/>
        <w:tblLook w:val="04A0" w:firstRow="1" w:lastRow="0" w:firstColumn="1" w:lastColumn="0" w:noHBand="0" w:noVBand="1"/>
      </w:tblPr>
      <w:tblGrid>
        <w:gridCol w:w="1110"/>
        <w:gridCol w:w="1728"/>
        <w:gridCol w:w="1789"/>
        <w:gridCol w:w="4389"/>
      </w:tblGrid>
      <w:tr w:rsidR="00317F80" w:rsidRPr="007276FD" w14:paraId="21D8B434" w14:textId="77777777" w:rsidTr="00935894">
        <w:tc>
          <w:tcPr>
            <w:tcW w:w="383" w:type="pct"/>
            <w:tcBorders>
              <w:top w:val="single" w:sz="4" w:space="0" w:color="auto"/>
              <w:left w:val="single" w:sz="4" w:space="0" w:color="auto"/>
              <w:bottom w:val="single" w:sz="4" w:space="0" w:color="auto"/>
              <w:right w:val="single" w:sz="4" w:space="0" w:color="auto"/>
            </w:tcBorders>
            <w:hideMark/>
          </w:tcPr>
          <w:p w14:paraId="4D112460" w14:textId="77777777" w:rsidR="00317F80" w:rsidRPr="007276FD" w:rsidRDefault="00317F80" w:rsidP="00935894">
            <w:pPr>
              <w:spacing w:line="276" w:lineRule="auto"/>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Prefigurative Principle </w:t>
            </w:r>
            <w:r>
              <w:rPr>
                <w:rFonts w:asciiTheme="majorHAnsi" w:hAnsiTheme="majorHAnsi" w:cstheme="majorHAnsi"/>
                <w:b/>
                <w:bCs/>
                <w:noProof/>
                <w:sz w:val="16"/>
                <w:szCs w:val="16"/>
                <w:lang w:val="en-US"/>
              </w:rPr>
              <w:t>[37]</w:t>
            </w:r>
          </w:p>
        </w:tc>
        <w:tc>
          <w:tcPr>
            <w:tcW w:w="1036" w:type="pct"/>
            <w:tcBorders>
              <w:top w:val="single" w:sz="4" w:space="0" w:color="auto"/>
              <w:left w:val="single" w:sz="4" w:space="0" w:color="auto"/>
              <w:bottom w:val="single" w:sz="4" w:space="0" w:color="auto"/>
              <w:right w:val="single" w:sz="4" w:space="0" w:color="auto"/>
            </w:tcBorders>
            <w:hideMark/>
          </w:tcPr>
          <w:p w14:paraId="25AD4939" w14:textId="77777777" w:rsidR="00317F80" w:rsidRPr="007276FD" w:rsidRDefault="00317F80" w:rsidP="00935894">
            <w:pPr>
              <w:spacing w:line="276" w:lineRule="auto"/>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Generative Principle (Minimally Disruptive Principles for intervention and service design.)</w:t>
            </w:r>
          </w:p>
        </w:tc>
        <w:tc>
          <w:tcPr>
            <w:tcW w:w="1070" w:type="pct"/>
            <w:tcBorders>
              <w:top w:val="single" w:sz="4" w:space="0" w:color="auto"/>
              <w:left w:val="single" w:sz="4" w:space="0" w:color="auto"/>
              <w:bottom w:val="single" w:sz="4" w:space="0" w:color="auto"/>
              <w:right w:val="single" w:sz="4" w:space="0" w:color="auto"/>
            </w:tcBorders>
            <w:hideMark/>
          </w:tcPr>
          <w:p w14:paraId="03DEDB17" w14:textId="77777777" w:rsidR="00317F80" w:rsidRPr="007276FD" w:rsidRDefault="00317F80" w:rsidP="00935894">
            <w:pPr>
              <w:spacing w:line="276" w:lineRule="auto"/>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Design principle</w:t>
            </w:r>
          </w:p>
        </w:tc>
        <w:tc>
          <w:tcPr>
            <w:tcW w:w="2511" w:type="pct"/>
            <w:tcBorders>
              <w:top w:val="single" w:sz="4" w:space="0" w:color="auto"/>
              <w:left w:val="single" w:sz="4" w:space="0" w:color="auto"/>
              <w:bottom w:val="single" w:sz="4" w:space="0" w:color="auto"/>
              <w:right w:val="single" w:sz="4" w:space="0" w:color="auto"/>
            </w:tcBorders>
          </w:tcPr>
          <w:p w14:paraId="1787AA7E" w14:textId="77777777" w:rsidR="00317F80" w:rsidRPr="007276FD" w:rsidRDefault="00317F80" w:rsidP="00935894">
            <w:pPr>
              <w:spacing w:line="276" w:lineRule="auto"/>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Example: Justice Outcome (Expressed in accounts of lived experience of </w:t>
            </w:r>
            <w:r w:rsidRPr="007276FD">
              <w:rPr>
                <w:rFonts w:asciiTheme="majorHAnsi" w:hAnsiTheme="majorHAnsi" w:cstheme="majorHAnsi"/>
                <w:b/>
                <w:bCs/>
                <w:i/>
                <w:iCs/>
                <w:sz w:val="16"/>
                <w:szCs w:val="16"/>
                <w:lang w:val="en-US"/>
              </w:rPr>
              <w:t>systemic disruptiveness</w:t>
            </w:r>
            <w:r w:rsidRPr="007276FD">
              <w:rPr>
                <w:rFonts w:asciiTheme="majorHAnsi" w:hAnsiTheme="majorHAnsi" w:cstheme="majorHAnsi"/>
                <w:b/>
                <w:bCs/>
                <w:sz w:val="16"/>
                <w:szCs w:val="16"/>
                <w:lang w:val="en-US"/>
              </w:rPr>
              <w:t>)</w:t>
            </w:r>
          </w:p>
          <w:p w14:paraId="4AA472E6" w14:textId="77777777" w:rsidR="00317F80" w:rsidRPr="007276FD" w:rsidRDefault="00317F80" w:rsidP="00935894">
            <w:pPr>
              <w:spacing w:line="276" w:lineRule="auto"/>
              <w:rPr>
                <w:rFonts w:asciiTheme="majorHAnsi" w:hAnsiTheme="majorHAnsi" w:cstheme="majorHAnsi"/>
                <w:b/>
                <w:bCs/>
                <w:sz w:val="16"/>
                <w:szCs w:val="16"/>
                <w:lang w:val="en-US"/>
              </w:rPr>
            </w:pPr>
          </w:p>
        </w:tc>
      </w:tr>
      <w:tr w:rsidR="00317F80" w:rsidRPr="007276FD" w14:paraId="39EC867E" w14:textId="77777777" w:rsidTr="00935894">
        <w:tc>
          <w:tcPr>
            <w:tcW w:w="383" w:type="pct"/>
            <w:vMerge w:val="restart"/>
            <w:tcBorders>
              <w:top w:val="single" w:sz="4" w:space="0" w:color="auto"/>
              <w:left w:val="single" w:sz="4" w:space="0" w:color="auto"/>
              <w:bottom w:val="single" w:sz="4" w:space="0" w:color="auto"/>
              <w:right w:val="single" w:sz="4" w:space="0" w:color="auto"/>
            </w:tcBorders>
            <w:hideMark/>
          </w:tcPr>
          <w:p w14:paraId="1185EFC8" w14:textId="77777777" w:rsidR="00317F80" w:rsidRPr="007276FD" w:rsidRDefault="00317F80" w:rsidP="00935894">
            <w:pPr>
              <w:spacing w:line="276" w:lineRule="auto"/>
              <w:rPr>
                <w:rFonts w:asciiTheme="majorHAnsi" w:hAnsiTheme="majorHAnsi" w:cstheme="majorHAnsi"/>
                <w:b/>
                <w:i/>
                <w:sz w:val="16"/>
                <w:szCs w:val="16"/>
                <w:lang w:val="en-US"/>
              </w:rPr>
            </w:pPr>
            <w:r w:rsidRPr="007276FD">
              <w:rPr>
                <w:rFonts w:asciiTheme="majorHAnsi" w:hAnsiTheme="majorHAnsi" w:cstheme="majorHAnsi"/>
                <w:b/>
                <w:bCs/>
                <w:i/>
                <w:iCs/>
                <w:sz w:val="16"/>
                <w:szCs w:val="16"/>
                <w:lang w:val="en-US"/>
              </w:rPr>
              <w:t>Transforming social relations</w:t>
            </w:r>
            <w:r w:rsidRPr="007276FD">
              <w:rPr>
                <w:rFonts w:asciiTheme="majorHAnsi" w:hAnsiTheme="majorHAnsi" w:cstheme="majorHAnsi"/>
                <w:b/>
                <w:bCs/>
                <w:sz w:val="16"/>
                <w:szCs w:val="16"/>
                <w:lang w:val="en-US"/>
              </w:rPr>
              <w:t>.</w:t>
            </w:r>
          </w:p>
        </w:tc>
        <w:tc>
          <w:tcPr>
            <w:tcW w:w="1036" w:type="pct"/>
            <w:vMerge w:val="restart"/>
            <w:tcBorders>
              <w:top w:val="single" w:sz="4" w:space="0" w:color="auto"/>
              <w:left w:val="single" w:sz="4" w:space="0" w:color="auto"/>
              <w:bottom w:val="single" w:sz="4" w:space="0" w:color="auto"/>
              <w:right w:val="single" w:sz="4" w:space="0" w:color="auto"/>
            </w:tcBorders>
            <w:hideMark/>
          </w:tcPr>
          <w:p w14:paraId="5A4C8AAB"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i/>
                <w:sz w:val="16"/>
                <w:szCs w:val="16"/>
                <w:lang w:val="en-US"/>
              </w:rPr>
              <w:t>Structural Compassion.</w:t>
            </w:r>
            <w:r w:rsidRPr="007276FD">
              <w:rPr>
                <w:rFonts w:asciiTheme="majorHAnsi" w:hAnsiTheme="majorHAnsi" w:cstheme="majorHAnsi"/>
                <w:sz w:val="16"/>
                <w:szCs w:val="16"/>
                <w:lang w:val="en-US"/>
              </w:rPr>
              <w:t xml:space="preserve"> </w:t>
            </w:r>
            <w:r w:rsidRPr="007276FD">
              <w:rPr>
                <w:rFonts w:asciiTheme="majorHAnsi" w:hAnsiTheme="majorHAnsi" w:cstheme="majorHAnsi"/>
                <w:i/>
                <w:iCs/>
                <w:sz w:val="16"/>
                <w:szCs w:val="16"/>
                <w:lang w:val="en-US"/>
              </w:rPr>
              <w:t>It is possible to co-create and co-design interventions and services in ways that encourage civility and dependability.</w:t>
            </w:r>
          </w:p>
        </w:tc>
        <w:tc>
          <w:tcPr>
            <w:tcW w:w="1070" w:type="pct"/>
            <w:tcBorders>
              <w:top w:val="single" w:sz="4" w:space="0" w:color="auto"/>
              <w:left w:val="single" w:sz="4" w:space="0" w:color="auto"/>
              <w:bottom w:val="single" w:sz="4" w:space="0" w:color="auto"/>
              <w:right w:val="single" w:sz="4" w:space="0" w:color="auto"/>
            </w:tcBorders>
            <w:hideMark/>
          </w:tcPr>
          <w:p w14:paraId="4570B91B"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bCs/>
                <w:i/>
                <w:iCs/>
                <w:sz w:val="16"/>
                <w:szCs w:val="16"/>
                <w:lang w:val="en-US"/>
              </w:rPr>
              <w:t>Civility</w:t>
            </w:r>
            <w:r w:rsidRPr="007276FD">
              <w:rPr>
                <w:rFonts w:asciiTheme="majorHAnsi" w:hAnsiTheme="majorHAnsi" w:cstheme="majorHAnsi"/>
                <w:sz w:val="16"/>
                <w:szCs w:val="16"/>
                <w:lang w:val="en-US"/>
              </w:rPr>
              <w:t>: when services are respectful of providers and users, they reinstate the value and moral meaningfulness of participation.</w:t>
            </w:r>
          </w:p>
        </w:tc>
        <w:tc>
          <w:tcPr>
            <w:tcW w:w="2511" w:type="pct"/>
            <w:tcBorders>
              <w:top w:val="single" w:sz="4" w:space="0" w:color="auto"/>
              <w:left w:val="single" w:sz="4" w:space="0" w:color="auto"/>
              <w:bottom w:val="single" w:sz="4" w:space="0" w:color="auto"/>
              <w:right w:val="single" w:sz="4" w:space="0" w:color="auto"/>
            </w:tcBorders>
            <w:hideMark/>
          </w:tcPr>
          <w:p w14:paraId="107A2BBC"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Health service delivery was generally described as fragmented and continuity of care a rarity rather than the norm. This was described as a major burden for those with end-stage heart failure. Having a long-term relationship with a particular health professional, who took an interest in them and had good communication skills was highly valued but apparently uncommon. More frequently, end-stage heart failure patients described far </w:t>
            </w:r>
            <w:proofErr w:type="gramStart"/>
            <w:r w:rsidRPr="007276FD">
              <w:rPr>
                <w:rFonts w:asciiTheme="majorHAnsi" w:hAnsiTheme="majorHAnsi" w:cstheme="majorHAnsi"/>
                <w:sz w:val="16"/>
                <w:szCs w:val="16"/>
                <w:lang w:val="en-US"/>
              </w:rPr>
              <w:t>less</w:t>
            </w:r>
            <w:proofErr w:type="gramEnd"/>
            <w:r w:rsidRPr="007276FD">
              <w:rPr>
                <w:rFonts w:asciiTheme="majorHAnsi" w:hAnsiTheme="majorHAnsi" w:cstheme="majorHAnsi"/>
                <w:sz w:val="16"/>
                <w:szCs w:val="16"/>
                <w:lang w:val="en-US"/>
              </w:rPr>
              <w:t xml:space="preserve"> positive experiences, describing ‘professionally-led models of care’ rather than ‘a partnership approach’ </w:t>
            </w:r>
            <w:r>
              <w:rPr>
                <w:rFonts w:asciiTheme="majorHAnsi" w:hAnsiTheme="majorHAnsi" w:cstheme="majorHAnsi"/>
                <w:noProof/>
                <w:sz w:val="16"/>
                <w:szCs w:val="16"/>
                <w:lang w:val="en-US"/>
              </w:rPr>
              <w:t>[102]</w:t>
            </w:r>
          </w:p>
        </w:tc>
      </w:tr>
      <w:tr w:rsidR="00317F80" w:rsidRPr="007276FD" w14:paraId="3C1FA5AC" w14:textId="77777777" w:rsidTr="00935894">
        <w:tc>
          <w:tcPr>
            <w:tcW w:w="0" w:type="auto"/>
            <w:vMerge/>
            <w:tcBorders>
              <w:top w:val="single" w:sz="4" w:space="0" w:color="auto"/>
              <w:left w:val="single" w:sz="4" w:space="0" w:color="auto"/>
              <w:bottom w:val="single" w:sz="4" w:space="0" w:color="auto"/>
              <w:right w:val="single" w:sz="4" w:space="0" w:color="auto"/>
            </w:tcBorders>
            <w:vAlign w:val="center"/>
            <w:hideMark/>
          </w:tcPr>
          <w:p w14:paraId="41F05648" w14:textId="77777777" w:rsidR="00317F80" w:rsidRPr="007276FD" w:rsidRDefault="00317F80" w:rsidP="00935894">
            <w:pPr>
              <w:spacing w:after="0" w:line="240" w:lineRule="auto"/>
              <w:rPr>
                <w:rFonts w:asciiTheme="majorHAnsi" w:hAnsiTheme="majorHAnsi" w:cstheme="majorHAnsi"/>
                <w:b/>
                <w:i/>
                <w:sz w:val="16"/>
                <w:szCs w:val="16"/>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2ADF13" w14:textId="77777777" w:rsidR="00317F80" w:rsidRPr="007276FD" w:rsidRDefault="00317F80" w:rsidP="00935894">
            <w:pPr>
              <w:spacing w:after="0" w:line="240" w:lineRule="auto"/>
              <w:rPr>
                <w:rFonts w:asciiTheme="majorHAnsi" w:hAnsiTheme="majorHAnsi" w:cstheme="majorHAnsi"/>
                <w:sz w:val="16"/>
                <w:szCs w:val="16"/>
                <w:lang w:val="en-US"/>
              </w:rPr>
            </w:pPr>
          </w:p>
        </w:tc>
        <w:tc>
          <w:tcPr>
            <w:tcW w:w="1070" w:type="pct"/>
            <w:tcBorders>
              <w:top w:val="single" w:sz="4" w:space="0" w:color="auto"/>
              <w:left w:val="single" w:sz="4" w:space="0" w:color="auto"/>
              <w:bottom w:val="single" w:sz="4" w:space="0" w:color="auto"/>
              <w:right w:val="single" w:sz="4" w:space="0" w:color="auto"/>
            </w:tcBorders>
            <w:hideMark/>
          </w:tcPr>
          <w:p w14:paraId="53BCAA5A"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bCs/>
                <w:i/>
                <w:iCs/>
                <w:sz w:val="16"/>
                <w:szCs w:val="16"/>
                <w:lang w:val="en-US"/>
              </w:rPr>
              <w:t>Dependability</w:t>
            </w:r>
            <w:r w:rsidRPr="007276FD">
              <w:rPr>
                <w:rFonts w:asciiTheme="majorHAnsi" w:hAnsiTheme="majorHAnsi" w:cstheme="majorHAnsi"/>
                <w:sz w:val="16"/>
                <w:szCs w:val="16"/>
                <w:lang w:val="en-US"/>
              </w:rPr>
              <w:t>: when services rethink the number and density of intervention components, and the interfaces between them, they eliminate opportunities for systemic failure.</w:t>
            </w:r>
          </w:p>
        </w:tc>
        <w:tc>
          <w:tcPr>
            <w:tcW w:w="2511" w:type="pct"/>
            <w:tcBorders>
              <w:top w:val="single" w:sz="4" w:space="0" w:color="auto"/>
              <w:left w:val="single" w:sz="4" w:space="0" w:color="auto"/>
              <w:bottom w:val="single" w:sz="4" w:space="0" w:color="auto"/>
              <w:right w:val="single" w:sz="4" w:space="0" w:color="auto"/>
            </w:tcBorders>
            <w:hideMark/>
          </w:tcPr>
          <w:p w14:paraId="07E01F5B"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The transition from inpatient care to the home is an important and often challenging time for patients (…) Generally, patients report discharge services as poorly coordinated, badly managed, and inadequate for preparing patients for life back in the community (…) Papers from a variety of countries and health care systems describe it as difficult for patients to gain access to advice and services once discharged into the community </w:t>
            </w:r>
            <w:r>
              <w:rPr>
                <w:rFonts w:asciiTheme="majorHAnsi" w:hAnsiTheme="majorHAnsi" w:cstheme="majorHAnsi"/>
                <w:noProof/>
                <w:sz w:val="16"/>
                <w:szCs w:val="16"/>
                <w:lang w:val="en-US"/>
              </w:rPr>
              <w:t>[95]</w:t>
            </w:r>
          </w:p>
        </w:tc>
      </w:tr>
      <w:tr w:rsidR="00317F80" w:rsidRPr="007276FD" w14:paraId="0AF6EFA6" w14:textId="77777777" w:rsidTr="00935894">
        <w:tc>
          <w:tcPr>
            <w:tcW w:w="383" w:type="pct"/>
            <w:tcBorders>
              <w:top w:val="single" w:sz="4" w:space="0" w:color="auto"/>
              <w:left w:val="single" w:sz="4" w:space="0" w:color="auto"/>
              <w:bottom w:val="single" w:sz="4" w:space="0" w:color="auto"/>
              <w:right w:val="single" w:sz="4" w:space="0" w:color="auto"/>
            </w:tcBorders>
          </w:tcPr>
          <w:p w14:paraId="2523997E" w14:textId="77777777" w:rsidR="00317F80" w:rsidRPr="007276FD" w:rsidRDefault="00317F80" w:rsidP="00935894">
            <w:pPr>
              <w:spacing w:line="276" w:lineRule="auto"/>
              <w:rPr>
                <w:rFonts w:asciiTheme="majorHAnsi" w:hAnsiTheme="majorHAnsi" w:cstheme="majorHAnsi"/>
                <w:i/>
                <w:iCs/>
                <w:sz w:val="16"/>
                <w:szCs w:val="16"/>
                <w:lang w:val="en-US"/>
              </w:rPr>
            </w:pPr>
            <w:r w:rsidRPr="007276FD">
              <w:rPr>
                <w:rFonts w:asciiTheme="majorHAnsi" w:hAnsiTheme="majorHAnsi" w:cstheme="majorHAnsi"/>
                <w:b/>
                <w:bCs/>
                <w:i/>
                <w:iCs/>
                <w:sz w:val="16"/>
                <w:szCs w:val="16"/>
                <w:lang w:val="en-US"/>
              </w:rPr>
              <w:t>Building counter-structures.</w:t>
            </w:r>
          </w:p>
          <w:p w14:paraId="61C440BA" w14:textId="77777777" w:rsidR="00317F80" w:rsidRPr="007276FD" w:rsidRDefault="00317F80" w:rsidP="00935894">
            <w:pPr>
              <w:spacing w:line="276" w:lineRule="auto"/>
              <w:rPr>
                <w:rFonts w:asciiTheme="majorHAnsi" w:hAnsiTheme="majorHAnsi" w:cstheme="majorHAnsi"/>
                <w:b/>
                <w:i/>
                <w:sz w:val="16"/>
                <w:szCs w:val="16"/>
                <w:lang w:val="en-US"/>
              </w:rPr>
            </w:pPr>
          </w:p>
        </w:tc>
        <w:tc>
          <w:tcPr>
            <w:tcW w:w="1036" w:type="pct"/>
            <w:tcBorders>
              <w:top w:val="single" w:sz="4" w:space="0" w:color="auto"/>
              <w:left w:val="single" w:sz="4" w:space="0" w:color="auto"/>
              <w:bottom w:val="single" w:sz="4" w:space="0" w:color="auto"/>
              <w:right w:val="single" w:sz="4" w:space="0" w:color="auto"/>
            </w:tcBorders>
            <w:hideMark/>
          </w:tcPr>
          <w:p w14:paraId="40F40420"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i/>
                <w:sz w:val="16"/>
                <w:szCs w:val="16"/>
                <w:lang w:val="en-US"/>
              </w:rPr>
              <w:t>Darwinian Simplicity.</w:t>
            </w:r>
            <w:r w:rsidRPr="007276FD">
              <w:rPr>
                <w:rFonts w:asciiTheme="majorHAnsi" w:hAnsiTheme="majorHAnsi" w:cstheme="majorHAnsi"/>
                <w:sz w:val="16"/>
                <w:szCs w:val="16"/>
                <w:lang w:val="en-US"/>
              </w:rPr>
              <w:t xml:space="preserve"> </w:t>
            </w:r>
            <w:r w:rsidRPr="007276FD">
              <w:rPr>
                <w:rFonts w:asciiTheme="majorHAnsi" w:hAnsiTheme="majorHAnsi" w:cstheme="majorHAnsi"/>
                <w:i/>
                <w:iCs/>
                <w:sz w:val="16"/>
                <w:szCs w:val="16"/>
                <w:lang w:val="en-US"/>
              </w:rPr>
              <w:t>It is possible to co-create and co-design interventions and services in ways that encourage clarity of purpose, easy navigation, and continuity of care.</w:t>
            </w:r>
          </w:p>
        </w:tc>
        <w:tc>
          <w:tcPr>
            <w:tcW w:w="1070" w:type="pct"/>
            <w:tcBorders>
              <w:top w:val="single" w:sz="4" w:space="0" w:color="auto"/>
              <w:left w:val="single" w:sz="4" w:space="0" w:color="auto"/>
              <w:bottom w:val="single" w:sz="4" w:space="0" w:color="auto"/>
              <w:right w:val="single" w:sz="4" w:space="0" w:color="auto"/>
            </w:tcBorders>
            <w:hideMark/>
          </w:tcPr>
          <w:p w14:paraId="6C4F1052"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bCs/>
                <w:i/>
                <w:iCs/>
                <w:sz w:val="16"/>
                <w:szCs w:val="16"/>
                <w:lang w:val="en-US"/>
              </w:rPr>
              <w:t>Simplicity</w:t>
            </w:r>
            <w:r w:rsidRPr="007276FD">
              <w:rPr>
                <w:rFonts w:asciiTheme="majorHAnsi" w:hAnsiTheme="majorHAnsi" w:cstheme="majorHAnsi"/>
                <w:sz w:val="16"/>
                <w:szCs w:val="16"/>
                <w:lang w:val="en-US"/>
              </w:rPr>
              <w:t>: when services are simplified, they encourage clarity of purpose, ease of navigation, and continuity of care.</w:t>
            </w:r>
          </w:p>
        </w:tc>
        <w:tc>
          <w:tcPr>
            <w:tcW w:w="2511" w:type="pct"/>
            <w:tcBorders>
              <w:top w:val="single" w:sz="4" w:space="0" w:color="auto"/>
              <w:left w:val="single" w:sz="4" w:space="0" w:color="auto"/>
              <w:bottom w:val="single" w:sz="4" w:space="0" w:color="auto"/>
              <w:right w:val="single" w:sz="4" w:space="0" w:color="auto"/>
            </w:tcBorders>
            <w:hideMark/>
          </w:tcPr>
          <w:p w14:paraId="30320BAE" w14:textId="77777777" w:rsidR="00317F80" w:rsidRPr="007276FD" w:rsidRDefault="00317F80" w:rsidP="00935894">
            <w:pPr>
              <w:spacing w:line="276" w:lineRule="auto"/>
              <w:rPr>
                <w:rFonts w:asciiTheme="majorHAnsi" w:hAnsiTheme="majorHAnsi" w:cstheme="majorHAnsi"/>
                <w:sz w:val="16"/>
                <w:szCs w:val="16"/>
                <w:lang w:val="en-US"/>
              </w:rPr>
            </w:pPr>
            <w:bookmarkStart w:id="0" w:name="_Hlk129874137"/>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Burden was a key concern, such as when older people and family </w:t>
            </w:r>
            <w:proofErr w:type="spellStart"/>
            <w:r w:rsidRPr="007276FD">
              <w:rPr>
                <w:rFonts w:asciiTheme="majorHAnsi" w:hAnsiTheme="majorHAnsi" w:cstheme="majorHAnsi"/>
                <w:sz w:val="16"/>
                <w:szCs w:val="16"/>
                <w:lang w:val="en-US"/>
              </w:rPr>
              <w:t>carers</w:t>
            </w:r>
            <w:proofErr w:type="spellEnd"/>
            <w:r w:rsidRPr="007276FD">
              <w:rPr>
                <w:rFonts w:asciiTheme="majorHAnsi" w:hAnsiTheme="majorHAnsi" w:cstheme="majorHAnsi"/>
                <w:sz w:val="16"/>
                <w:szCs w:val="16"/>
                <w:lang w:val="en-US"/>
              </w:rPr>
              <w:t xml:space="preserve"> described multiple health and care contacts for reviews across different sites, services, teams and practitioners, and the time and effort involved (…) Here the workload involved getting to, and participating in a review at their practice or at a pharmacy; having to visit a phlebotomist for blood tests at their local practice or hospital prior to their review; and seeing a doctor, nurse or pharmacist for the actual review but their doctor or hospital consultant for follow-up </w:t>
            </w:r>
            <w:bookmarkEnd w:id="0"/>
            <w:r>
              <w:rPr>
                <w:rFonts w:asciiTheme="majorHAnsi" w:hAnsiTheme="majorHAnsi" w:cstheme="majorHAnsi"/>
                <w:noProof/>
                <w:sz w:val="16"/>
                <w:szCs w:val="16"/>
                <w:lang w:val="en-US"/>
              </w:rPr>
              <w:t>[109]</w:t>
            </w:r>
          </w:p>
        </w:tc>
      </w:tr>
      <w:tr w:rsidR="00317F80" w:rsidRPr="007276FD" w14:paraId="217FB986" w14:textId="77777777" w:rsidTr="00935894">
        <w:tc>
          <w:tcPr>
            <w:tcW w:w="383" w:type="pct"/>
            <w:tcBorders>
              <w:top w:val="single" w:sz="4" w:space="0" w:color="auto"/>
              <w:left w:val="single" w:sz="4" w:space="0" w:color="auto"/>
              <w:bottom w:val="single" w:sz="4" w:space="0" w:color="auto"/>
              <w:right w:val="single" w:sz="4" w:space="0" w:color="auto"/>
            </w:tcBorders>
            <w:hideMark/>
          </w:tcPr>
          <w:p w14:paraId="3E547A30" w14:textId="77777777" w:rsidR="00317F80" w:rsidRPr="007276FD" w:rsidRDefault="00317F80" w:rsidP="00935894">
            <w:pPr>
              <w:spacing w:line="276" w:lineRule="auto"/>
              <w:rPr>
                <w:rFonts w:asciiTheme="majorHAnsi" w:hAnsiTheme="majorHAnsi" w:cstheme="majorHAnsi"/>
                <w:b/>
                <w:i/>
                <w:sz w:val="16"/>
                <w:szCs w:val="16"/>
                <w:lang w:val="en-US"/>
              </w:rPr>
            </w:pPr>
            <w:r w:rsidRPr="007276FD">
              <w:rPr>
                <w:rFonts w:asciiTheme="majorHAnsi" w:hAnsiTheme="majorHAnsi" w:cstheme="majorHAnsi"/>
                <w:b/>
                <w:bCs/>
                <w:i/>
                <w:iCs/>
                <w:sz w:val="16"/>
                <w:szCs w:val="16"/>
                <w:lang w:val="en-US"/>
              </w:rPr>
              <w:t>Redistributing resources.</w:t>
            </w:r>
          </w:p>
        </w:tc>
        <w:tc>
          <w:tcPr>
            <w:tcW w:w="1036" w:type="pct"/>
            <w:tcBorders>
              <w:top w:val="single" w:sz="4" w:space="0" w:color="auto"/>
              <w:left w:val="single" w:sz="4" w:space="0" w:color="auto"/>
              <w:bottom w:val="single" w:sz="4" w:space="0" w:color="auto"/>
              <w:right w:val="single" w:sz="4" w:space="0" w:color="auto"/>
            </w:tcBorders>
          </w:tcPr>
          <w:p w14:paraId="49E056D5"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i/>
                <w:sz w:val="16"/>
                <w:szCs w:val="16"/>
                <w:lang w:val="en-US"/>
              </w:rPr>
              <w:t>Organizational Minimalism</w:t>
            </w:r>
            <w:r w:rsidRPr="007276FD">
              <w:rPr>
                <w:rFonts w:asciiTheme="majorHAnsi" w:hAnsiTheme="majorHAnsi" w:cstheme="majorHAnsi"/>
                <w:sz w:val="16"/>
                <w:szCs w:val="16"/>
                <w:lang w:val="en-US"/>
              </w:rPr>
              <w:t xml:space="preserve">. </w:t>
            </w:r>
            <w:r w:rsidRPr="007276FD">
              <w:rPr>
                <w:rFonts w:asciiTheme="majorHAnsi" w:hAnsiTheme="majorHAnsi" w:cstheme="majorHAnsi"/>
                <w:i/>
                <w:iCs/>
                <w:sz w:val="16"/>
                <w:szCs w:val="16"/>
                <w:lang w:val="en-US"/>
              </w:rPr>
              <w:t>It is possible to co-create and co-design interventions and services that encourage reduction of workload and that minimize system complexity</w:t>
            </w:r>
            <w:r w:rsidRPr="007276FD">
              <w:rPr>
                <w:rFonts w:asciiTheme="majorHAnsi" w:hAnsiTheme="majorHAnsi" w:cstheme="majorHAnsi"/>
                <w:sz w:val="16"/>
                <w:szCs w:val="16"/>
                <w:lang w:val="en-US"/>
              </w:rPr>
              <w:t>.</w:t>
            </w:r>
          </w:p>
          <w:p w14:paraId="3E700996" w14:textId="77777777" w:rsidR="00317F80" w:rsidRPr="007276FD" w:rsidRDefault="00317F80" w:rsidP="00935894">
            <w:pPr>
              <w:spacing w:line="276" w:lineRule="auto"/>
              <w:rPr>
                <w:rFonts w:asciiTheme="majorHAnsi" w:hAnsiTheme="majorHAnsi" w:cstheme="majorHAnsi"/>
                <w:sz w:val="16"/>
                <w:szCs w:val="16"/>
                <w:lang w:val="en-US"/>
              </w:rPr>
            </w:pPr>
          </w:p>
          <w:p w14:paraId="6B2CA205" w14:textId="77777777" w:rsidR="00317F80" w:rsidRPr="007276FD" w:rsidRDefault="00317F80" w:rsidP="00935894">
            <w:pPr>
              <w:spacing w:line="276" w:lineRule="auto"/>
              <w:rPr>
                <w:rFonts w:asciiTheme="majorHAnsi" w:hAnsiTheme="majorHAnsi" w:cstheme="majorHAnsi"/>
                <w:sz w:val="16"/>
                <w:szCs w:val="16"/>
                <w:lang w:val="en-US"/>
              </w:rPr>
            </w:pPr>
          </w:p>
        </w:tc>
        <w:tc>
          <w:tcPr>
            <w:tcW w:w="1070" w:type="pct"/>
            <w:tcBorders>
              <w:top w:val="single" w:sz="4" w:space="0" w:color="auto"/>
              <w:left w:val="single" w:sz="4" w:space="0" w:color="auto"/>
              <w:bottom w:val="single" w:sz="4" w:space="0" w:color="auto"/>
              <w:right w:val="single" w:sz="4" w:space="0" w:color="auto"/>
            </w:tcBorders>
            <w:hideMark/>
          </w:tcPr>
          <w:p w14:paraId="2A50948D" w14:textId="77777777" w:rsidR="00317F80" w:rsidRPr="007276FD" w:rsidRDefault="00317F80" w:rsidP="00935894">
            <w:pPr>
              <w:spacing w:line="276" w:lineRule="auto"/>
              <w:rPr>
                <w:rFonts w:asciiTheme="majorHAnsi" w:hAnsiTheme="majorHAnsi" w:cstheme="majorHAnsi"/>
                <w:sz w:val="16"/>
                <w:szCs w:val="16"/>
                <w:lang w:val="en-US"/>
              </w:rPr>
            </w:pPr>
            <w:bookmarkStart w:id="1" w:name="_Hlk129874025"/>
            <w:r w:rsidRPr="007276FD">
              <w:rPr>
                <w:rFonts w:asciiTheme="majorHAnsi" w:hAnsiTheme="majorHAnsi" w:cstheme="majorHAnsi"/>
                <w:b/>
                <w:bCs/>
                <w:i/>
                <w:iCs/>
                <w:sz w:val="16"/>
                <w:szCs w:val="16"/>
                <w:lang w:val="en-US"/>
              </w:rPr>
              <w:t>Subtraction</w:t>
            </w:r>
            <w:r w:rsidRPr="007276FD">
              <w:rPr>
                <w:rFonts w:asciiTheme="majorHAnsi" w:hAnsiTheme="majorHAnsi" w:cstheme="majorHAnsi"/>
                <w:sz w:val="16"/>
                <w:szCs w:val="16"/>
                <w:lang w:val="en-US"/>
              </w:rPr>
              <w:t xml:space="preserve">: when services reduce workload, they restore agency and capacity to patients, </w:t>
            </w:r>
            <w:proofErr w:type="gramStart"/>
            <w:r w:rsidRPr="007276FD">
              <w:rPr>
                <w:rFonts w:asciiTheme="majorHAnsi" w:hAnsiTheme="majorHAnsi" w:cstheme="majorHAnsi"/>
                <w:sz w:val="16"/>
                <w:szCs w:val="16"/>
                <w:lang w:val="en-US"/>
              </w:rPr>
              <w:t>caregivers</w:t>
            </w:r>
            <w:proofErr w:type="gramEnd"/>
            <w:r w:rsidRPr="007276FD">
              <w:rPr>
                <w:rFonts w:asciiTheme="majorHAnsi" w:hAnsiTheme="majorHAnsi" w:cstheme="majorHAnsi"/>
                <w:sz w:val="16"/>
                <w:szCs w:val="16"/>
                <w:lang w:val="en-US"/>
              </w:rPr>
              <w:t xml:space="preserve"> and professionals.</w:t>
            </w:r>
            <w:bookmarkEnd w:id="1"/>
          </w:p>
        </w:tc>
        <w:tc>
          <w:tcPr>
            <w:tcW w:w="2511" w:type="pct"/>
            <w:tcBorders>
              <w:top w:val="single" w:sz="4" w:space="0" w:color="auto"/>
              <w:left w:val="single" w:sz="4" w:space="0" w:color="auto"/>
              <w:bottom w:val="single" w:sz="4" w:space="0" w:color="auto"/>
              <w:right w:val="single" w:sz="4" w:space="0" w:color="auto"/>
            </w:tcBorders>
            <w:hideMark/>
          </w:tcPr>
          <w:p w14:paraId="705FAD14" w14:textId="77777777" w:rsidR="00317F80" w:rsidRPr="007276FD" w:rsidRDefault="00317F80" w:rsidP="00935894">
            <w:pPr>
              <w:spacing w:line="276" w:lineRule="auto"/>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Patients often have multiple health care providers, as they interact with a variety of services including health and social care. They describe it as challenging to make sense of and to differentiate between the roles of different individuals and services, for example whom to contact for advice once discharged from hospital (…) A lack of continuity of care for patients and poor communication between services can result in patients receiving conflicting information from different parties, making it harder to understand the necessary processes that promote recovery </w:t>
            </w:r>
            <w:r>
              <w:rPr>
                <w:rFonts w:cstheme="minorHAnsi"/>
                <w:noProof/>
                <w:sz w:val="16"/>
                <w:szCs w:val="16"/>
                <w:lang w:val="en-US"/>
              </w:rPr>
              <w:t>[95]</w:t>
            </w:r>
            <w:r w:rsidRPr="007276FD">
              <w:rPr>
                <w:rFonts w:cstheme="minorHAnsi"/>
                <w:sz w:val="16"/>
                <w:szCs w:val="16"/>
                <w:lang w:val="en-US"/>
              </w:rPr>
              <w:t>.</w:t>
            </w:r>
          </w:p>
        </w:tc>
      </w:tr>
    </w:tbl>
    <w:p w14:paraId="04B57B30" w14:textId="77777777" w:rsidR="00AC3A3A" w:rsidRDefault="00AC3A3A"/>
    <w:sectPr w:rsidR="00AC3A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F80"/>
    <w:rsid w:val="00020ED3"/>
    <w:rsid w:val="002E1B2D"/>
    <w:rsid w:val="00317F80"/>
    <w:rsid w:val="0058201D"/>
    <w:rsid w:val="005E2AB9"/>
    <w:rsid w:val="00853C5D"/>
    <w:rsid w:val="00AC3A3A"/>
    <w:rsid w:val="00D2407F"/>
    <w:rsid w:val="00DF0535"/>
    <w:rsid w:val="00E66B7E"/>
    <w:rsid w:val="00F07B7B"/>
    <w:rsid w:val="00F335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31F6CC"/>
  <w15:chartTrackingRefBased/>
  <w15:docId w15:val="{4944D4E4-53B5-CC4E-A7BF-BD9C87CF9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7F80"/>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497</Words>
  <Characters>3107</Characters>
  <Application>Microsoft Office Word</Application>
  <DocSecurity>0</DocSecurity>
  <Lines>83</Lines>
  <Paragraphs>24</Paragraphs>
  <ScaleCrop>false</ScaleCrop>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Hillis</dc:creator>
  <cp:keywords/>
  <dc:description/>
  <cp:lastModifiedBy>Alice  Hillis</cp:lastModifiedBy>
  <cp:revision>2</cp:revision>
  <dcterms:created xsi:type="dcterms:W3CDTF">2023-06-08T16:31:00Z</dcterms:created>
  <dcterms:modified xsi:type="dcterms:W3CDTF">2023-06-08T16:36:00Z</dcterms:modified>
</cp:coreProperties>
</file>