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u w:val="none"/>
        </w:rPr>
      </w:pPr>
      <w:r>
        <w:rPr>
          <w:spacing w:val="-2"/>
          <w:u w:val="single"/>
        </w:rPr>
        <w:t>Supplementary</w:t>
      </w:r>
      <w:r>
        <w:rPr>
          <w:spacing w:val="-14"/>
          <w:u w:val="single"/>
        </w:rPr>
        <w:t> </w:t>
      </w:r>
      <w:r>
        <w:rPr>
          <w:spacing w:val="-2"/>
          <w:u w:val="single"/>
        </w:rPr>
        <w:t>Appendix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95"/>
        <w:ind w:left="120" w:right="122"/>
      </w:pPr>
      <w:r>
        <w:rPr/>
        <w:t>Amber</w:t>
      </w:r>
      <w:r>
        <w:rPr>
          <w:spacing w:val="-5"/>
        </w:rPr>
        <w:t> </w:t>
      </w:r>
      <w:r>
        <w:rPr/>
        <w:t>Afzal</w:t>
      </w:r>
      <w:r>
        <w:rPr>
          <w:vertAlign w:val="superscript"/>
        </w:rPr>
        <w:t>1</w:t>
      </w:r>
      <w:r>
        <w:rPr>
          <w:vertAlign w:val="baseline"/>
        </w:rPr>
        <w:t>*,</w:t>
      </w:r>
      <w:r>
        <w:rPr>
          <w:spacing w:val="-5"/>
          <w:vertAlign w:val="baseline"/>
        </w:rPr>
        <w:t> </w:t>
      </w:r>
      <w:r>
        <w:rPr>
          <w:vertAlign w:val="baseline"/>
        </w:rPr>
        <w:t>Preethi</w:t>
      </w:r>
      <w:r>
        <w:rPr>
          <w:spacing w:val="-3"/>
          <w:vertAlign w:val="baseline"/>
        </w:rPr>
        <w:t> </w:t>
      </w:r>
      <w:r>
        <w:rPr>
          <w:vertAlign w:val="baseline"/>
        </w:rPr>
        <w:t>Kesavan</w:t>
      </w:r>
      <w:r>
        <w:rPr>
          <w:vertAlign w:val="superscript"/>
        </w:rPr>
        <w:t>2</w:t>
      </w:r>
      <w:r>
        <w:rPr>
          <w:vertAlign w:val="baseline"/>
        </w:rPr>
        <w:t>*,</w:t>
      </w:r>
      <w:r>
        <w:rPr>
          <w:spacing w:val="-2"/>
          <w:vertAlign w:val="baseline"/>
        </w:rPr>
        <w:t> </w:t>
      </w:r>
      <w:r>
        <w:rPr>
          <w:vertAlign w:val="baseline"/>
        </w:rPr>
        <w:t>Luo</w:t>
      </w:r>
      <w:r>
        <w:rPr>
          <w:spacing w:val="-4"/>
          <w:vertAlign w:val="baseline"/>
        </w:rPr>
        <w:t> </w:t>
      </w:r>
      <w:r>
        <w:rPr>
          <w:vertAlign w:val="baseline"/>
        </w:rPr>
        <w:t>Suhong</w:t>
      </w:r>
      <w:r>
        <w:rPr>
          <w:vertAlign w:val="superscript"/>
        </w:rPr>
        <w:t>4</w:t>
      </w:r>
      <w:r>
        <w:rPr>
          <w:vertAlign w:val="baseline"/>
        </w:rPr>
        <w:t>,</w:t>
      </w:r>
      <w:r>
        <w:rPr>
          <w:spacing w:val="-5"/>
          <w:vertAlign w:val="baseline"/>
        </w:rPr>
        <w:t> </w:t>
      </w:r>
      <w:r>
        <w:rPr>
          <w:vertAlign w:val="baseline"/>
        </w:rPr>
        <w:t>Brian</w:t>
      </w:r>
      <w:r>
        <w:rPr>
          <w:spacing w:val="-1"/>
          <w:vertAlign w:val="baseline"/>
        </w:rPr>
        <w:t> </w:t>
      </w:r>
      <w:r>
        <w:rPr>
          <w:vertAlign w:val="baseline"/>
        </w:rPr>
        <w:t>F</w:t>
      </w:r>
      <w:r>
        <w:rPr>
          <w:spacing w:val="-5"/>
          <w:vertAlign w:val="baseline"/>
        </w:rPr>
        <w:t> </w:t>
      </w:r>
      <w:r>
        <w:rPr>
          <w:vertAlign w:val="baseline"/>
        </w:rPr>
        <w:t>Gage</w:t>
      </w:r>
      <w:r>
        <w:rPr>
          <w:vertAlign w:val="superscript"/>
        </w:rPr>
        <w:t>2</w:t>
      </w:r>
      <w:r>
        <w:rPr>
          <w:vertAlign w:val="baseline"/>
        </w:rPr>
        <w:t>,</w:t>
      </w:r>
      <w:r>
        <w:rPr>
          <w:spacing w:val="-2"/>
          <w:vertAlign w:val="baseline"/>
        </w:rPr>
        <w:t> </w:t>
      </w:r>
      <w:r>
        <w:rPr>
          <w:vertAlign w:val="baseline"/>
        </w:rPr>
        <w:t>Kevin</w:t>
      </w:r>
      <w:r>
        <w:rPr>
          <w:spacing w:val="-1"/>
          <w:vertAlign w:val="baseline"/>
        </w:rPr>
        <w:t> </w:t>
      </w:r>
      <w:r>
        <w:rPr>
          <w:vertAlign w:val="baseline"/>
        </w:rPr>
        <w:t>Korenblat</w:t>
      </w:r>
      <w:r>
        <w:rPr>
          <w:vertAlign w:val="superscript"/>
        </w:rPr>
        <w:t>3</w:t>
      </w:r>
      <w:r>
        <w:rPr>
          <w:vertAlign w:val="baseline"/>
        </w:rPr>
        <w:t>,</w:t>
      </w:r>
      <w:r>
        <w:rPr>
          <w:spacing w:val="-5"/>
          <w:vertAlign w:val="baseline"/>
        </w:rPr>
        <w:t> </w:t>
      </w:r>
      <w:r>
        <w:rPr>
          <w:vertAlign w:val="baseline"/>
        </w:rPr>
        <w:t>Martin Schoen</w:t>
      </w:r>
      <w:r>
        <w:rPr>
          <w:vertAlign w:val="superscript"/>
        </w:rPr>
        <w:t>4</w:t>
      </w:r>
      <w:r>
        <w:rPr>
          <w:vertAlign w:val="baseline"/>
        </w:rPr>
        <w:t>, Kristen Sanfilippo </w:t>
      </w:r>
      <w:r>
        <w:rPr>
          <w:vertAlign w:val="superscript"/>
        </w:rPr>
        <w:t>1,4</w:t>
      </w:r>
    </w:p>
    <w:p>
      <w:pPr>
        <w:pStyle w:val="BodyText"/>
        <w:spacing w:line="293" w:lineRule="exact"/>
        <w:ind w:left="120"/>
      </w:pPr>
      <w:r>
        <w:rPr/>
        <w:t>*co-first</w:t>
      </w:r>
      <w:r>
        <w:rPr>
          <w:spacing w:val="-1"/>
        </w:rPr>
        <w:t> </w:t>
      </w:r>
      <w:r>
        <w:rPr/>
        <w:t>authors,</w:t>
      </w:r>
      <w:r>
        <w:rPr>
          <w:spacing w:val="-1"/>
        </w:rPr>
        <w:t> </w:t>
      </w:r>
      <w:r>
        <w:rPr/>
        <w:t>contributed</w:t>
      </w:r>
      <w:r>
        <w:rPr>
          <w:spacing w:val="-2"/>
        </w:rPr>
        <w:t> </w:t>
      </w:r>
      <w:r>
        <w:rPr/>
        <w:t>equally</w:t>
      </w:r>
      <w:r>
        <w:rPr>
          <w:spacing w:val="-5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1"/>
        </w:rPr>
        <w:t> </w:t>
      </w:r>
      <w:r>
        <w:rPr>
          <w:spacing w:val="-2"/>
        </w:rPr>
        <w:t>study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120"/>
      </w:pPr>
      <w:r>
        <w:rPr/>
        <w:t>Author</w:t>
      </w:r>
      <w:r>
        <w:rPr>
          <w:spacing w:val="1"/>
        </w:rPr>
        <w:t> </w:t>
      </w:r>
      <w:r>
        <w:rPr>
          <w:spacing w:val="-2"/>
        </w:rPr>
        <w:t>Affiliations:</w:t>
      </w:r>
    </w:p>
    <w:p>
      <w:pPr>
        <w:pStyle w:val="BodyText"/>
        <w:spacing w:before="12"/>
        <w:rPr>
          <w:sz w:val="23"/>
        </w:rPr>
      </w:pPr>
    </w:p>
    <w:p>
      <w:pPr>
        <w:pStyle w:val="ListParagraph"/>
        <w:numPr>
          <w:ilvl w:val="0"/>
          <w:numId w:val="1"/>
        </w:numPr>
        <w:tabs>
          <w:tab w:pos="840" w:val="left" w:leader="none"/>
        </w:tabs>
        <w:spacing w:line="240" w:lineRule="auto" w:before="0" w:after="0"/>
        <w:ind w:left="840" w:right="0" w:hanging="360"/>
        <w:jc w:val="left"/>
        <w:rPr>
          <w:sz w:val="24"/>
        </w:rPr>
      </w:pPr>
      <w:r>
        <w:rPr>
          <w:sz w:val="24"/>
        </w:rPr>
        <w:t>Division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Hematology,</w:t>
      </w:r>
      <w:r>
        <w:rPr>
          <w:spacing w:val="-4"/>
          <w:sz w:val="24"/>
        </w:rPr>
        <w:t> </w:t>
      </w:r>
      <w:r>
        <w:rPr>
          <w:sz w:val="24"/>
        </w:rPr>
        <w:t>Department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Medicine,</w:t>
      </w:r>
      <w:r>
        <w:rPr>
          <w:spacing w:val="-1"/>
          <w:sz w:val="24"/>
        </w:rPr>
        <w:t> </w:t>
      </w:r>
      <w:r>
        <w:rPr>
          <w:sz w:val="24"/>
        </w:rPr>
        <w:t>Washington University</w:t>
      </w:r>
      <w:r>
        <w:rPr>
          <w:spacing w:val="-2"/>
          <w:sz w:val="24"/>
        </w:rPr>
        <w:t> </w:t>
      </w:r>
      <w:r>
        <w:rPr>
          <w:sz w:val="24"/>
        </w:rPr>
        <w:t>in St</w:t>
      </w:r>
      <w:r>
        <w:rPr>
          <w:spacing w:val="-3"/>
          <w:sz w:val="24"/>
        </w:rPr>
        <w:t> </w:t>
      </w:r>
      <w:r>
        <w:rPr>
          <w:sz w:val="24"/>
        </w:rPr>
        <w:t>Louis,</w:t>
      </w:r>
      <w:r>
        <w:rPr>
          <w:spacing w:val="-1"/>
          <w:sz w:val="24"/>
        </w:rPr>
        <w:t> </w:t>
      </w:r>
      <w:r>
        <w:rPr>
          <w:spacing w:val="-5"/>
          <w:sz w:val="24"/>
        </w:rPr>
        <w:t>MO</w:t>
      </w:r>
    </w:p>
    <w:p>
      <w:pPr>
        <w:pStyle w:val="ListParagraph"/>
        <w:numPr>
          <w:ilvl w:val="0"/>
          <w:numId w:val="1"/>
        </w:numPr>
        <w:tabs>
          <w:tab w:pos="840" w:val="left" w:leader="none"/>
        </w:tabs>
        <w:spacing w:line="240" w:lineRule="auto" w:before="0" w:after="0"/>
        <w:ind w:left="840" w:right="0" w:hanging="360"/>
        <w:jc w:val="left"/>
        <w:rPr>
          <w:sz w:val="24"/>
        </w:rPr>
      </w:pPr>
      <w:r>
        <w:rPr>
          <w:sz w:val="24"/>
        </w:rPr>
        <w:t>Department</w:t>
      </w:r>
      <w:r>
        <w:rPr>
          <w:spacing w:val="-6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Medicine,</w:t>
      </w:r>
      <w:r>
        <w:rPr>
          <w:spacing w:val="-1"/>
          <w:sz w:val="24"/>
        </w:rPr>
        <w:t> </w:t>
      </w:r>
      <w:r>
        <w:rPr>
          <w:sz w:val="24"/>
        </w:rPr>
        <w:t>Washington University</w:t>
      </w:r>
      <w:r>
        <w:rPr>
          <w:spacing w:val="-2"/>
          <w:sz w:val="24"/>
        </w:rPr>
        <w:t> </w:t>
      </w:r>
      <w:r>
        <w:rPr>
          <w:sz w:val="24"/>
        </w:rPr>
        <w:t>in St</w:t>
      </w:r>
      <w:r>
        <w:rPr>
          <w:spacing w:val="-3"/>
          <w:sz w:val="24"/>
        </w:rPr>
        <w:t> </w:t>
      </w:r>
      <w:r>
        <w:rPr>
          <w:sz w:val="24"/>
        </w:rPr>
        <w:t>Louis,</w:t>
      </w:r>
      <w:r>
        <w:rPr>
          <w:spacing w:val="-1"/>
          <w:sz w:val="24"/>
        </w:rPr>
        <w:t> </w:t>
      </w:r>
      <w:r>
        <w:rPr>
          <w:spacing w:val="-5"/>
          <w:sz w:val="24"/>
        </w:rPr>
        <w:t>MO</w:t>
      </w:r>
    </w:p>
    <w:p>
      <w:pPr>
        <w:pStyle w:val="ListParagraph"/>
        <w:numPr>
          <w:ilvl w:val="0"/>
          <w:numId w:val="1"/>
        </w:numPr>
        <w:tabs>
          <w:tab w:pos="840" w:val="left" w:leader="none"/>
        </w:tabs>
        <w:spacing w:line="240" w:lineRule="auto" w:before="0" w:after="0"/>
        <w:ind w:left="840" w:right="621" w:hanging="360"/>
        <w:jc w:val="left"/>
        <w:rPr>
          <w:sz w:val="24"/>
        </w:rPr>
      </w:pPr>
      <w:r>
        <w:rPr>
          <w:sz w:val="24"/>
        </w:rPr>
        <w:t>Division</w:t>
      </w:r>
      <w:r>
        <w:rPr>
          <w:spacing w:val="-6"/>
          <w:sz w:val="24"/>
        </w:rPr>
        <w:t> </w:t>
      </w:r>
      <w:r>
        <w:rPr>
          <w:sz w:val="24"/>
        </w:rPr>
        <w:t>of</w:t>
      </w:r>
      <w:r>
        <w:rPr>
          <w:spacing w:val="-6"/>
          <w:sz w:val="24"/>
        </w:rPr>
        <w:t> </w:t>
      </w:r>
      <w:r>
        <w:rPr>
          <w:sz w:val="24"/>
        </w:rPr>
        <w:t>Gastroenterology,</w:t>
      </w:r>
      <w:r>
        <w:rPr>
          <w:spacing w:val="-4"/>
          <w:sz w:val="24"/>
        </w:rPr>
        <w:t> </w:t>
      </w:r>
      <w:r>
        <w:rPr>
          <w:sz w:val="24"/>
        </w:rPr>
        <w:t>Department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6"/>
          <w:sz w:val="24"/>
        </w:rPr>
        <w:t> </w:t>
      </w:r>
      <w:r>
        <w:rPr>
          <w:sz w:val="24"/>
        </w:rPr>
        <w:t>Medicine,</w:t>
      </w:r>
      <w:r>
        <w:rPr>
          <w:spacing w:val="-4"/>
          <w:sz w:val="24"/>
        </w:rPr>
        <w:t> </w:t>
      </w:r>
      <w:r>
        <w:rPr>
          <w:sz w:val="24"/>
        </w:rPr>
        <w:t>Washington</w:t>
      </w:r>
      <w:r>
        <w:rPr>
          <w:spacing w:val="-4"/>
          <w:sz w:val="24"/>
        </w:rPr>
        <w:t> </w:t>
      </w:r>
      <w:r>
        <w:rPr>
          <w:sz w:val="24"/>
        </w:rPr>
        <w:t>University</w:t>
      </w:r>
      <w:r>
        <w:rPr>
          <w:spacing w:val="-5"/>
          <w:sz w:val="24"/>
        </w:rPr>
        <w:t> </w:t>
      </w:r>
      <w:r>
        <w:rPr>
          <w:sz w:val="24"/>
        </w:rPr>
        <w:t>in</w:t>
      </w:r>
      <w:r>
        <w:rPr>
          <w:spacing w:val="-6"/>
          <w:sz w:val="24"/>
        </w:rPr>
        <w:t> </w:t>
      </w:r>
      <w:r>
        <w:rPr>
          <w:sz w:val="24"/>
        </w:rPr>
        <w:t>St Louis, MO</w:t>
      </w:r>
    </w:p>
    <w:p>
      <w:pPr>
        <w:pStyle w:val="ListParagraph"/>
        <w:numPr>
          <w:ilvl w:val="0"/>
          <w:numId w:val="1"/>
        </w:numPr>
        <w:tabs>
          <w:tab w:pos="840" w:val="left" w:leader="none"/>
        </w:tabs>
        <w:spacing w:line="240" w:lineRule="auto" w:before="0" w:after="0"/>
        <w:ind w:left="839" w:right="854" w:hanging="360"/>
        <w:jc w:val="left"/>
        <w:rPr>
          <w:sz w:val="24"/>
        </w:rPr>
      </w:pPr>
      <w:r>
        <w:rPr>
          <w:sz w:val="24"/>
        </w:rPr>
        <w:t>Division</w:t>
      </w:r>
      <w:r>
        <w:rPr>
          <w:spacing w:val="-4"/>
          <w:sz w:val="24"/>
        </w:rPr>
        <w:t> </w:t>
      </w:r>
      <w:r>
        <w:rPr>
          <w:sz w:val="24"/>
        </w:rPr>
        <w:t>of</w:t>
      </w:r>
      <w:r>
        <w:rPr>
          <w:spacing w:val="-4"/>
          <w:sz w:val="24"/>
        </w:rPr>
        <w:t> </w:t>
      </w:r>
      <w:r>
        <w:rPr>
          <w:sz w:val="24"/>
        </w:rPr>
        <w:t>Oncology,</w:t>
      </w:r>
      <w:r>
        <w:rPr>
          <w:spacing w:val="-5"/>
          <w:sz w:val="24"/>
        </w:rPr>
        <w:t> </w:t>
      </w:r>
      <w:r>
        <w:rPr>
          <w:sz w:val="24"/>
        </w:rPr>
        <w:t>Department</w:t>
      </w:r>
      <w:r>
        <w:rPr>
          <w:spacing w:val="-4"/>
          <w:sz w:val="24"/>
        </w:rPr>
        <w:t> </w:t>
      </w:r>
      <w:r>
        <w:rPr>
          <w:sz w:val="24"/>
        </w:rPr>
        <w:t>of</w:t>
      </w:r>
      <w:r>
        <w:rPr>
          <w:spacing w:val="-4"/>
          <w:sz w:val="24"/>
        </w:rPr>
        <w:t> </w:t>
      </w:r>
      <w:r>
        <w:rPr>
          <w:sz w:val="24"/>
        </w:rPr>
        <w:t>Medicine,</w:t>
      </w:r>
      <w:r>
        <w:rPr>
          <w:spacing w:val="-2"/>
          <w:sz w:val="24"/>
        </w:rPr>
        <w:t> </w:t>
      </w:r>
      <w:r>
        <w:rPr>
          <w:sz w:val="24"/>
        </w:rPr>
        <w:t>St.</w:t>
      </w:r>
      <w:r>
        <w:rPr>
          <w:spacing w:val="-3"/>
          <w:sz w:val="24"/>
        </w:rPr>
        <w:t> </w:t>
      </w:r>
      <w:r>
        <w:rPr>
          <w:sz w:val="24"/>
        </w:rPr>
        <w:t>Louis</w:t>
      </w:r>
      <w:r>
        <w:rPr>
          <w:spacing w:val="-3"/>
          <w:sz w:val="24"/>
        </w:rPr>
        <w:t> </w:t>
      </w:r>
      <w:r>
        <w:rPr>
          <w:sz w:val="24"/>
        </w:rPr>
        <w:t>Veterans</w:t>
      </w:r>
      <w:r>
        <w:rPr>
          <w:spacing w:val="-3"/>
          <w:sz w:val="24"/>
        </w:rPr>
        <w:t> </w:t>
      </w:r>
      <w:r>
        <w:rPr>
          <w:sz w:val="24"/>
        </w:rPr>
        <w:t>Affairs</w:t>
      </w:r>
      <w:r>
        <w:rPr>
          <w:spacing w:val="-5"/>
          <w:sz w:val="24"/>
        </w:rPr>
        <w:t> </w:t>
      </w:r>
      <w:r>
        <w:rPr>
          <w:sz w:val="24"/>
        </w:rPr>
        <w:t>Medical Center, St Louis, MO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ind w:left="119"/>
      </w:pPr>
      <w:r>
        <w:rPr/>
        <w:t>Corresponding Author: Amber Afzal, MD, MSCI. Assistant Professor, Division of Hematology, Department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Medicine,</w:t>
      </w:r>
      <w:r>
        <w:rPr>
          <w:spacing w:val="-2"/>
        </w:rPr>
        <w:t> </w:t>
      </w:r>
      <w:r>
        <w:rPr/>
        <w:t>Washington</w:t>
      </w:r>
      <w:r>
        <w:rPr>
          <w:spacing w:val="-2"/>
        </w:rPr>
        <w:t> </w:t>
      </w:r>
      <w:r>
        <w:rPr/>
        <w:t>University</w:t>
      </w:r>
      <w:r>
        <w:rPr>
          <w:spacing w:val="-3"/>
        </w:rPr>
        <w:t> </w:t>
      </w:r>
      <w:r>
        <w:rPr/>
        <w:t>in</w:t>
      </w:r>
      <w:r>
        <w:rPr>
          <w:spacing w:val="-2"/>
        </w:rPr>
        <w:t> </w:t>
      </w:r>
      <w:r>
        <w:rPr/>
        <w:t>St</w:t>
      </w:r>
      <w:r>
        <w:rPr>
          <w:spacing w:val="-4"/>
        </w:rPr>
        <w:t> </w:t>
      </w:r>
      <w:r>
        <w:rPr/>
        <w:t>Louis,</w:t>
      </w:r>
      <w:r>
        <w:rPr>
          <w:spacing w:val="-2"/>
        </w:rPr>
        <w:t> </w:t>
      </w:r>
      <w:r>
        <w:rPr/>
        <w:t>MO,</w:t>
      </w:r>
      <w:r>
        <w:rPr>
          <w:spacing w:val="-5"/>
        </w:rPr>
        <w:t> </w:t>
      </w:r>
      <w:r>
        <w:rPr/>
        <w:t>Phone</w:t>
      </w:r>
      <w:r>
        <w:rPr>
          <w:spacing w:val="-5"/>
        </w:rPr>
        <w:t> </w:t>
      </w:r>
      <w:r>
        <w:rPr/>
        <w:t>number:</w:t>
      </w:r>
      <w:r>
        <w:rPr>
          <w:spacing w:val="-4"/>
        </w:rPr>
        <w:t> </w:t>
      </w:r>
      <w:r>
        <w:rPr/>
        <w:t>314-273-0564, email: </w:t>
      </w:r>
      <w:hyperlink r:id="rId5">
        <w:r>
          <w:rPr>
            <w:color w:val="0562C1"/>
          </w:rPr>
          <w:t>afzalamber@wustl.edu</w:t>
        </w:r>
      </w:hyperlink>
    </w:p>
    <w:p>
      <w:pPr>
        <w:spacing w:after="0"/>
        <w:sectPr>
          <w:type w:val="continuous"/>
          <w:pgSz w:w="12240" w:h="15840"/>
          <w:pgMar w:top="1480" w:bottom="280" w:left="1320" w:right="1340"/>
        </w:sectPr>
      </w:pPr>
    </w:p>
    <w:tbl>
      <w:tblPr>
        <w:tblW w:w="0" w:type="auto"/>
        <w:jc w:val="left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02"/>
        <w:gridCol w:w="3060"/>
        <w:gridCol w:w="3060"/>
      </w:tblGrid>
      <w:tr>
        <w:trPr>
          <w:trHeight w:val="308" w:hRule="atLeast"/>
        </w:trPr>
        <w:tc>
          <w:tcPr>
            <w:tcW w:w="9322" w:type="dxa"/>
            <w:gridSpan w:val="3"/>
            <w:shd w:val="clear" w:color="auto" w:fill="D9D9D9"/>
          </w:tcPr>
          <w:p>
            <w:pPr>
              <w:pStyle w:val="TableParagraph"/>
              <w:spacing w:line="273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Table</w:t>
            </w:r>
            <w:r>
              <w:rPr>
                <w:rFonts w:ascii="Calibri"/>
                <w:b/>
                <w:spacing w:val="-4"/>
                <w:sz w:val="24"/>
              </w:rPr>
              <w:t> </w:t>
            </w:r>
            <w:r>
              <w:rPr>
                <w:rFonts w:ascii="Calibri"/>
                <w:b/>
                <w:sz w:val="24"/>
              </w:rPr>
              <w:t>A. Identification</w:t>
            </w:r>
            <w:r>
              <w:rPr>
                <w:rFonts w:ascii="Calibri"/>
                <w:b/>
                <w:spacing w:val="-3"/>
                <w:sz w:val="24"/>
              </w:rPr>
              <w:t> </w:t>
            </w:r>
            <w:r>
              <w:rPr>
                <w:rFonts w:ascii="Calibri"/>
                <w:b/>
                <w:sz w:val="24"/>
              </w:rPr>
              <w:t>of chronic</w:t>
            </w:r>
            <w:r>
              <w:rPr>
                <w:rFonts w:ascii="Calibri"/>
                <w:b/>
                <w:spacing w:val="-4"/>
                <w:sz w:val="24"/>
              </w:rPr>
              <w:t> </w:t>
            </w:r>
            <w:r>
              <w:rPr>
                <w:rFonts w:ascii="Calibri"/>
                <w:b/>
                <w:sz w:val="24"/>
              </w:rPr>
              <w:t>liver</w:t>
            </w:r>
            <w:r>
              <w:rPr>
                <w:rFonts w:ascii="Calibri"/>
                <w:b/>
                <w:spacing w:val="-2"/>
                <w:sz w:val="24"/>
              </w:rPr>
              <w:t> </w:t>
            </w:r>
            <w:r>
              <w:rPr>
                <w:rFonts w:ascii="Calibri"/>
                <w:b/>
                <w:sz w:val="24"/>
              </w:rPr>
              <w:t>disease</w:t>
            </w:r>
            <w:r>
              <w:rPr>
                <w:rFonts w:ascii="Calibri"/>
                <w:b/>
                <w:spacing w:val="-1"/>
                <w:sz w:val="24"/>
              </w:rPr>
              <w:t> </w:t>
            </w:r>
            <w:r>
              <w:rPr>
                <w:rFonts w:ascii="Calibri"/>
                <w:b/>
                <w:sz w:val="24"/>
              </w:rPr>
              <w:t>using</w:t>
            </w:r>
            <w:r>
              <w:rPr>
                <w:rFonts w:ascii="Calibri"/>
                <w:b/>
                <w:spacing w:val="-2"/>
                <w:sz w:val="24"/>
              </w:rPr>
              <w:t> </w:t>
            </w:r>
            <w:r>
              <w:rPr>
                <w:rFonts w:ascii="Calibri"/>
                <w:b/>
                <w:sz w:val="24"/>
              </w:rPr>
              <w:t>ICD</w:t>
            </w:r>
            <w:r>
              <w:rPr>
                <w:rFonts w:ascii="Calibri"/>
                <w:b/>
                <w:spacing w:val="-3"/>
                <w:sz w:val="24"/>
              </w:rPr>
              <w:t> </w:t>
            </w:r>
            <w:r>
              <w:rPr>
                <w:rFonts w:ascii="Calibri"/>
                <w:b/>
                <w:sz w:val="24"/>
              </w:rPr>
              <w:t>9/10</w:t>
            </w:r>
            <w:r>
              <w:rPr>
                <w:rFonts w:ascii="Calibri"/>
                <w:b/>
                <w:spacing w:val="-2"/>
                <w:sz w:val="24"/>
              </w:rPr>
              <w:t> codes</w:t>
            </w:r>
          </w:p>
        </w:tc>
      </w:tr>
      <w:tr>
        <w:trPr>
          <w:trHeight w:val="306" w:hRule="atLeast"/>
        </w:trPr>
        <w:tc>
          <w:tcPr>
            <w:tcW w:w="3202" w:type="dxa"/>
            <w:shd w:val="clear" w:color="auto" w:fill="D9D9D9"/>
          </w:tcPr>
          <w:p>
            <w:pPr>
              <w:pStyle w:val="TableParagraph"/>
              <w:spacing w:line="273" w:lineRule="exact" w:before="1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Category</w:t>
            </w:r>
            <w:r>
              <w:rPr>
                <w:rFonts w:ascii="Calibri"/>
                <w:b/>
                <w:spacing w:val="-3"/>
                <w:sz w:val="24"/>
              </w:rPr>
              <w:t> </w:t>
            </w:r>
            <w:r>
              <w:rPr>
                <w:rFonts w:ascii="Calibri"/>
                <w:b/>
                <w:sz w:val="24"/>
              </w:rPr>
              <w:t>of </w:t>
            </w:r>
            <w:r>
              <w:rPr>
                <w:rFonts w:ascii="Calibri"/>
                <w:b/>
                <w:spacing w:val="-5"/>
                <w:sz w:val="24"/>
              </w:rPr>
              <w:t>CLD</w:t>
            </w:r>
          </w:p>
        </w:tc>
        <w:tc>
          <w:tcPr>
            <w:tcW w:w="3060" w:type="dxa"/>
            <w:shd w:val="clear" w:color="auto" w:fill="D9D9D9"/>
          </w:tcPr>
          <w:p>
            <w:pPr>
              <w:pStyle w:val="TableParagraph"/>
              <w:spacing w:line="273" w:lineRule="exact" w:before="13"/>
              <w:ind w:left="1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ICD9 </w:t>
            </w:r>
            <w:r>
              <w:rPr>
                <w:rFonts w:ascii="Calibri"/>
                <w:b/>
                <w:spacing w:val="-4"/>
                <w:sz w:val="24"/>
              </w:rPr>
              <w:t>code</w:t>
            </w:r>
          </w:p>
        </w:tc>
        <w:tc>
          <w:tcPr>
            <w:tcW w:w="3060" w:type="dxa"/>
            <w:shd w:val="clear" w:color="auto" w:fill="D9D9D9"/>
          </w:tcPr>
          <w:p>
            <w:pPr>
              <w:pStyle w:val="TableParagraph"/>
              <w:spacing w:line="273" w:lineRule="exact" w:before="13"/>
              <w:ind w:left="1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ICD10</w:t>
            </w:r>
            <w:r>
              <w:rPr>
                <w:rFonts w:ascii="Calibri"/>
                <w:b/>
                <w:spacing w:val="-2"/>
                <w:sz w:val="24"/>
              </w:rPr>
              <w:t> </w:t>
            </w:r>
            <w:r>
              <w:rPr>
                <w:rFonts w:ascii="Calibri"/>
                <w:b/>
                <w:spacing w:val="-4"/>
                <w:sz w:val="24"/>
              </w:rPr>
              <w:t>code</w:t>
            </w:r>
          </w:p>
        </w:tc>
      </w:tr>
      <w:tr>
        <w:trPr>
          <w:trHeight w:val="894" w:hRule="atLeast"/>
        </w:trPr>
        <w:tc>
          <w:tcPr>
            <w:tcW w:w="3202" w:type="dxa"/>
          </w:tcPr>
          <w:p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Viral </w:t>
            </w:r>
            <w:r>
              <w:rPr>
                <w:rFonts w:ascii="Calibri"/>
                <w:spacing w:val="-2"/>
                <w:sz w:val="24"/>
              </w:rPr>
              <w:t>Hepatitis</w:t>
            </w:r>
          </w:p>
        </w:tc>
        <w:tc>
          <w:tcPr>
            <w:tcW w:w="3060" w:type="dxa"/>
          </w:tcPr>
          <w:p>
            <w:pPr>
              <w:pStyle w:val="TableParagraph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070.22,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070.23,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070.32,</w:t>
            </w:r>
          </w:p>
          <w:p>
            <w:pPr>
              <w:pStyle w:val="TableParagraph"/>
              <w:spacing w:before="0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070.33,</w:t>
            </w:r>
          </w:p>
          <w:p>
            <w:pPr>
              <w:pStyle w:val="TableParagraph"/>
              <w:spacing w:line="273" w:lineRule="exact" w:before="0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070.44,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070.54</w:t>
            </w:r>
          </w:p>
        </w:tc>
        <w:tc>
          <w:tcPr>
            <w:tcW w:w="3060" w:type="dxa"/>
          </w:tcPr>
          <w:p>
            <w:pPr>
              <w:pStyle w:val="TableParagraph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B18.0,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B18.1,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pacing w:val="-4"/>
                <w:sz w:val="24"/>
              </w:rPr>
              <w:t>B18.2</w:t>
            </w:r>
          </w:p>
        </w:tc>
      </w:tr>
      <w:tr>
        <w:trPr>
          <w:trHeight w:val="601" w:hRule="atLeast"/>
        </w:trPr>
        <w:tc>
          <w:tcPr>
            <w:tcW w:w="3202" w:type="dxa"/>
          </w:tcPr>
          <w:p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Chronic</w:t>
            </w:r>
            <w:r>
              <w:rPr>
                <w:rFonts w:ascii="Calibri"/>
                <w:spacing w:val="1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Hepatitis</w:t>
            </w:r>
          </w:p>
        </w:tc>
        <w:tc>
          <w:tcPr>
            <w:tcW w:w="3060" w:type="dxa"/>
          </w:tcPr>
          <w:p>
            <w:pPr>
              <w:pStyle w:val="TableParagraph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571.40,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571.41,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571.42,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571.49</w:t>
            </w:r>
          </w:p>
        </w:tc>
        <w:tc>
          <w:tcPr>
            <w:tcW w:w="3060" w:type="dxa"/>
          </w:tcPr>
          <w:p>
            <w:pPr>
              <w:pStyle w:val="TableParagraph"/>
              <w:spacing w:line="290" w:lineRule="atLeast" w:before="0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K73.0,</w:t>
            </w:r>
            <w:r>
              <w:rPr>
                <w:rFonts w:ascii="Calibri"/>
                <w:spacing w:val="-12"/>
                <w:sz w:val="24"/>
              </w:rPr>
              <w:t> </w:t>
            </w:r>
            <w:r>
              <w:rPr>
                <w:rFonts w:ascii="Calibri"/>
                <w:sz w:val="24"/>
              </w:rPr>
              <w:t>K73.2,</w:t>
            </w:r>
            <w:r>
              <w:rPr>
                <w:rFonts w:ascii="Calibri"/>
                <w:spacing w:val="-12"/>
                <w:sz w:val="24"/>
              </w:rPr>
              <w:t> </w:t>
            </w:r>
            <w:r>
              <w:rPr>
                <w:rFonts w:ascii="Calibri"/>
                <w:sz w:val="24"/>
              </w:rPr>
              <w:t>K73.8,</w:t>
            </w:r>
            <w:r>
              <w:rPr>
                <w:rFonts w:ascii="Calibri"/>
                <w:spacing w:val="-13"/>
                <w:sz w:val="24"/>
              </w:rPr>
              <w:t> </w:t>
            </w:r>
            <w:r>
              <w:rPr>
                <w:rFonts w:ascii="Calibri"/>
                <w:sz w:val="24"/>
              </w:rPr>
              <w:t>K73.9, </w:t>
            </w:r>
            <w:r>
              <w:rPr>
                <w:rFonts w:ascii="Calibri"/>
                <w:spacing w:val="-2"/>
                <w:sz w:val="24"/>
              </w:rPr>
              <w:t>K75.4</w:t>
            </w:r>
          </w:p>
        </w:tc>
      </w:tr>
      <w:tr>
        <w:trPr>
          <w:trHeight w:val="306" w:hRule="atLeast"/>
        </w:trPr>
        <w:tc>
          <w:tcPr>
            <w:tcW w:w="3202" w:type="dxa"/>
          </w:tcPr>
          <w:p>
            <w:pPr>
              <w:pStyle w:val="TableParagraph"/>
              <w:spacing w:line="273" w:lineRule="exact" w:before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Alcoholic </w:t>
            </w:r>
            <w:r>
              <w:rPr>
                <w:rFonts w:ascii="Calibri"/>
                <w:spacing w:val="-2"/>
                <w:sz w:val="24"/>
              </w:rPr>
              <w:t>cirrhosis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 w:before="13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571.2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 w:before="13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K70.30</w:t>
            </w:r>
          </w:p>
        </w:tc>
      </w:tr>
      <w:tr>
        <w:trPr>
          <w:trHeight w:val="553" w:hRule="atLeast"/>
        </w:trPr>
        <w:tc>
          <w:tcPr>
            <w:tcW w:w="3202" w:type="dxa"/>
          </w:tcPr>
          <w:p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Non-alcoholic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cirrhosis</w:t>
            </w:r>
          </w:p>
        </w:tc>
        <w:tc>
          <w:tcPr>
            <w:tcW w:w="3060" w:type="dxa"/>
          </w:tcPr>
          <w:p>
            <w:pPr>
              <w:pStyle w:val="TableParagraph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571.5,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571.8</w:t>
            </w:r>
          </w:p>
        </w:tc>
        <w:tc>
          <w:tcPr>
            <w:tcW w:w="3060" w:type="dxa"/>
          </w:tcPr>
          <w:p>
            <w:pPr>
              <w:pStyle w:val="TableParagraph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K74.0,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K74.1,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K74.60,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K74.69</w:t>
            </w:r>
          </w:p>
        </w:tc>
      </w:tr>
      <w:tr>
        <w:trPr>
          <w:trHeight w:val="306" w:hRule="atLeast"/>
        </w:trPr>
        <w:tc>
          <w:tcPr>
            <w:tcW w:w="3202" w:type="dxa"/>
          </w:tcPr>
          <w:p>
            <w:pPr>
              <w:pStyle w:val="TableParagraph"/>
              <w:spacing w:line="273" w:lineRule="exact" w:before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Biliary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Cirrhosis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 w:before="13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571.6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 w:before="13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K74.3,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K74.4,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pacing w:val="-4"/>
                <w:sz w:val="24"/>
              </w:rPr>
              <w:t>K74.5</w:t>
            </w:r>
          </w:p>
        </w:tc>
      </w:tr>
      <w:tr>
        <w:trPr>
          <w:trHeight w:val="308" w:hRule="atLeast"/>
        </w:trPr>
        <w:tc>
          <w:tcPr>
            <w:tcW w:w="3202" w:type="dxa"/>
          </w:tcPr>
          <w:p>
            <w:pPr>
              <w:pStyle w:val="TableParagraph"/>
              <w:spacing w:line="273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Alcoholic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chronic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liver </w:t>
            </w:r>
            <w:r>
              <w:rPr>
                <w:rFonts w:ascii="Calibri"/>
                <w:spacing w:val="-2"/>
                <w:sz w:val="24"/>
              </w:rPr>
              <w:t>disease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571.3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K70.9</w:t>
            </w:r>
          </w:p>
        </w:tc>
      </w:tr>
      <w:tr>
        <w:trPr>
          <w:trHeight w:val="601" w:hRule="atLeast"/>
        </w:trPr>
        <w:tc>
          <w:tcPr>
            <w:tcW w:w="3202" w:type="dxa"/>
          </w:tcPr>
          <w:p>
            <w:pPr>
              <w:pStyle w:val="TableParagraph"/>
              <w:spacing w:line="290" w:lineRule="atLeast" w:before="0"/>
              <w:ind w:right="123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Unspecified</w:t>
            </w:r>
            <w:r>
              <w:rPr>
                <w:rFonts w:ascii="Calibri"/>
                <w:spacing w:val="-14"/>
                <w:sz w:val="24"/>
              </w:rPr>
              <w:t> </w:t>
            </w:r>
            <w:r>
              <w:rPr>
                <w:rFonts w:ascii="Calibri"/>
                <w:sz w:val="24"/>
              </w:rPr>
              <w:t>chronic Iiver disease</w:t>
            </w:r>
          </w:p>
        </w:tc>
        <w:tc>
          <w:tcPr>
            <w:tcW w:w="3060" w:type="dxa"/>
          </w:tcPr>
          <w:p>
            <w:pPr>
              <w:pStyle w:val="TableParagraph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571.9</w:t>
            </w:r>
          </w:p>
        </w:tc>
        <w:tc>
          <w:tcPr>
            <w:tcW w:w="3060" w:type="dxa"/>
          </w:tcPr>
          <w:p>
            <w:pPr>
              <w:pStyle w:val="TableParagraph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K76.0,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K76.89,</w:t>
            </w:r>
            <w:r>
              <w:rPr>
                <w:rFonts w:ascii="Calibri"/>
                <w:spacing w:val="-4"/>
                <w:sz w:val="24"/>
              </w:rPr>
              <w:t> K76.9</w:t>
            </w:r>
          </w:p>
        </w:tc>
      </w:tr>
      <w:tr>
        <w:trPr>
          <w:trHeight w:val="601" w:hRule="atLeast"/>
        </w:trPr>
        <w:tc>
          <w:tcPr>
            <w:tcW w:w="3202" w:type="dxa"/>
          </w:tcPr>
          <w:p>
            <w:pPr>
              <w:pStyle w:val="TableParagraph"/>
              <w:spacing w:line="290" w:lineRule="atLeast" w:before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Chronic</w:t>
            </w:r>
            <w:r>
              <w:rPr>
                <w:rFonts w:ascii="Calibri"/>
                <w:spacing w:val="-14"/>
                <w:sz w:val="24"/>
              </w:rPr>
              <w:t> </w:t>
            </w:r>
            <w:r>
              <w:rPr>
                <w:rFonts w:ascii="Calibri"/>
                <w:sz w:val="24"/>
              </w:rPr>
              <w:t>passive</w:t>
            </w:r>
            <w:r>
              <w:rPr>
                <w:rFonts w:ascii="Calibri"/>
                <w:spacing w:val="-12"/>
                <w:sz w:val="24"/>
              </w:rPr>
              <w:t> </w:t>
            </w:r>
            <w:r>
              <w:rPr>
                <w:rFonts w:ascii="Calibri"/>
                <w:sz w:val="24"/>
              </w:rPr>
              <w:t>congestion</w:t>
            </w:r>
            <w:r>
              <w:rPr>
                <w:rFonts w:ascii="Calibri"/>
                <w:spacing w:val="-12"/>
                <w:sz w:val="24"/>
              </w:rPr>
              <w:t> </w:t>
            </w:r>
            <w:r>
              <w:rPr>
                <w:rFonts w:ascii="Calibri"/>
                <w:sz w:val="24"/>
              </w:rPr>
              <w:t>of </w:t>
            </w:r>
            <w:r>
              <w:rPr>
                <w:rFonts w:ascii="Calibri"/>
                <w:spacing w:val="-2"/>
                <w:sz w:val="24"/>
              </w:rPr>
              <w:t>liver</w:t>
            </w:r>
          </w:p>
        </w:tc>
        <w:tc>
          <w:tcPr>
            <w:tcW w:w="306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</w:tcPr>
          <w:p>
            <w:pPr>
              <w:pStyle w:val="TableParagraph"/>
              <w:spacing w:before="13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K76.1</w:t>
            </w:r>
          </w:p>
        </w:tc>
      </w:tr>
      <w:tr>
        <w:trPr>
          <w:trHeight w:val="599" w:hRule="atLeast"/>
        </w:trPr>
        <w:tc>
          <w:tcPr>
            <w:tcW w:w="3202" w:type="dxa"/>
            <w:shd w:val="clear" w:color="auto" w:fill="D9D9D9"/>
          </w:tcPr>
          <w:p>
            <w:pPr>
              <w:pStyle w:val="TableParagraph"/>
              <w:spacing w:line="290" w:lineRule="atLeast" w:before="0"/>
              <w:ind w:right="32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Common</w:t>
            </w:r>
            <w:r>
              <w:rPr>
                <w:rFonts w:ascii="Calibri"/>
                <w:b/>
                <w:spacing w:val="-14"/>
                <w:sz w:val="24"/>
              </w:rPr>
              <w:t> </w:t>
            </w:r>
            <w:r>
              <w:rPr>
                <w:rFonts w:ascii="Calibri"/>
                <w:b/>
                <w:sz w:val="24"/>
              </w:rPr>
              <w:t>clinical</w:t>
            </w:r>
            <w:r>
              <w:rPr>
                <w:rFonts w:ascii="Calibri"/>
                <w:b/>
                <w:spacing w:val="-14"/>
                <w:sz w:val="24"/>
              </w:rPr>
              <w:t> </w:t>
            </w:r>
            <w:r>
              <w:rPr>
                <w:rFonts w:ascii="Calibri"/>
                <w:b/>
                <w:sz w:val="24"/>
              </w:rPr>
              <w:t>presentation of CLD</w:t>
            </w:r>
          </w:p>
        </w:tc>
        <w:tc>
          <w:tcPr>
            <w:tcW w:w="3060" w:type="dxa"/>
            <w:shd w:val="clear" w:color="auto" w:fill="D9D9D9"/>
          </w:tcPr>
          <w:p>
            <w:pPr>
              <w:pStyle w:val="TableParagraph"/>
              <w:spacing w:before="13"/>
              <w:ind w:left="1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ICD9 </w:t>
            </w:r>
            <w:r>
              <w:rPr>
                <w:rFonts w:ascii="Calibri"/>
                <w:b/>
                <w:spacing w:val="-4"/>
                <w:sz w:val="24"/>
              </w:rPr>
              <w:t>code</w:t>
            </w:r>
          </w:p>
        </w:tc>
        <w:tc>
          <w:tcPr>
            <w:tcW w:w="3060" w:type="dxa"/>
            <w:shd w:val="clear" w:color="auto" w:fill="D9D9D9"/>
          </w:tcPr>
          <w:p>
            <w:pPr>
              <w:pStyle w:val="TableParagraph"/>
              <w:spacing w:before="13"/>
              <w:ind w:left="1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ICD10</w:t>
            </w:r>
            <w:r>
              <w:rPr>
                <w:rFonts w:ascii="Calibri"/>
                <w:b/>
                <w:spacing w:val="-2"/>
                <w:sz w:val="24"/>
              </w:rPr>
              <w:t> </w:t>
            </w:r>
            <w:r>
              <w:rPr>
                <w:rFonts w:ascii="Calibri"/>
                <w:b/>
                <w:spacing w:val="-4"/>
                <w:sz w:val="24"/>
              </w:rPr>
              <w:t>code</w:t>
            </w:r>
          </w:p>
        </w:tc>
      </w:tr>
      <w:tr>
        <w:trPr>
          <w:trHeight w:val="308" w:hRule="atLeast"/>
        </w:trPr>
        <w:tc>
          <w:tcPr>
            <w:tcW w:w="3202" w:type="dxa"/>
          </w:tcPr>
          <w:p>
            <w:pPr>
              <w:pStyle w:val="TableParagraph"/>
              <w:spacing w:line="273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Esophageal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Varices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456.0,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456.1,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456.20,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456.21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I85.00,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I85.01,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I85.10,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I85.11</w:t>
            </w:r>
          </w:p>
        </w:tc>
      </w:tr>
      <w:tr>
        <w:trPr>
          <w:trHeight w:val="601" w:hRule="atLeast"/>
        </w:trPr>
        <w:tc>
          <w:tcPr>
            <w:tcW w:w="3202" w:type="dxa"/>
          </w:tcPr>
          <w:p>
            <w:pPr>
              <w:pStyle w:val="TableParagraph"/>
              <w:spacing w:line="290" w:lineRule="atLeast" w:before="0"/>
              <w:ind w:right="98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Spontaneous</w:t>
            </w:r>
            <w:r>
              <w:rPr>
                <w:rFonts w:ascii="Calibri"/>
                <w:spacing w:val="-14"/>
                <w:sz w:val="24"/>
              </w:rPr>
              <w:t> </w:t>
            </w:r>
            <w:r>
              <w:rPr>
                <w:rFonts w:ascii="Calibri"/>
                <w:sz w:val="24"/>
              </w:rPr>
              <w:t>bacterial </w:t>
            </w:r>
            <w:r>
              <w:rPr>
                <w:rFonts w:ascii="Calibri"/>
                <w:spacing w:val="-2"/>
                <w:sz w:val="24"/>
              </w:rPr>
              <w:t>peritonitis</w:t>
            </w:r>
          </w:p>
        </w:tc>
        <w:tc>
          <w:tcPr>
            <w:tcW w:w="3060" w:type="dxa"/>
          </w:tcPr>
          <w:p>
            <w:pPr>
              <w:pStyle w:val="TableParagraph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567.23</w:t>
            </w:r>
          </w:p>
        </w:tc>
        <w:tc>
          <w:tcPr>
            <w:tcW w:w="3060" w:type="dxa"/>
          </w:tcPr>
          <w:p>
            <w:pPr>
              <w:pStyle w:val="TableParagraph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K65.2</w:t>
            </w:r>
          </w:p>
        </w:tc>
      </w:tr>
      <w:tr>
        <w:trPr>
          <w:trHeight w:val="306" w:hRule="atLeast"/>
        </w:trPr>
        <w:tc>
          <w:tcPr>
            <w:tcW w:w="3202" w:type="dxa"/>
          </w:tcPr>
          <w:p>
            <w:pPr>
              <w:pStyle w:val="TableParagraph"/>
              <w:spacing w:line="273" w:lineRule="exact" w:before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Hepatopulmonary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syndrome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 w:before="13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573.5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 w:before="13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K76.81</w:t>
            </w:r>
          </w:p>
        </w:tc>
      </w:tr>
      <w:tr>
        <w:trPr>
          <w:trHeight w:val="308" w:hRule="atLeast"/>
        </w:trPr>
        <w:tc>
          <w:tcPr>
            <w:tcW w:w="3202" w:type="dxa"/>
          </w:tcPr>
          <w:p>
            <w:pPr>
              <w:pStyle w:val="TableParagraph"/>
              <w:spacing w:line="273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Hepatic</w:t>
            </w:r>
            <w:r>
              <w:rPr>
                <w:rFonts w:ascii="Calibri"/>
                <w:spacing w:val="1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encephalopathy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572.2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K72.91</w:t>
            </w:r>
          </w:p>
        </w:tc>
      </w:tr>
      <w:tr>
        <w:trPr>
          <w:trHeight w:val="308" w:hRule="atLeast"/>
        </w:trPr>
        <w:tc>
          <w:tcPr>
            <w:tcW w:w="3202" w:type="dxa"/>
          </w:tcPr>
          <w:p>
            <w:pPr>
              <w:pStyle w:val="TableParagraph"/>
              <w:spacing w:line="273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Portal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hypertension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572.3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K76.6</w:t>
            </w:r>
          </w:p>
        </w:tc>
      </w:tr>
      <w:tr>
        <w:trPr>
          <w:trHeight w:val="306" w:hRule="atLeast"/>
        </w:trPr>
        <w:tc>
          <w:tcPr>
            <w:tcW w:w="3202" w:type="dxa"/>
          </w:tcPr>
          <w:p>
            <w:pPr>
              <w:pStyle w:val="TableParagraph"/>
              <w:spacing w:line="273" w:lineRule="exact" w:before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Hepatorenal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syndrome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 w:before="13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572.4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 w:before="13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K76.7</w:t>
            </w:r>
          </w:p>
        </w:tc>
      </w:tr>
      <w:tr>
        <w:trPr>
          <w:trHeight w:val="308" w:hRule="atLeast"/>
        </w:trPr>
        <w:tc>
          <w:tcPr>
            <w:tcW w:w="3202" w:type="dxa"/>
          </w:tcPr>
          <w:p>
            <w:pPr>
              <w:pStyle w:val="TableParagraph"/>
              <w:spacing w:line="273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Other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sequelae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pacing w:val="-5"/>
                <w:sz w:val="24"/>
              </w:rPr>
              <w:t>CLD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572.8</w:t>
            </w:r>
          </w:p>
        </w:tc>
        <w:tc>
          <w:tcPr>
            <w:tcW w:w="3060" w:type="dxa"/>
          </w:tcPr>
          <w:p>
            <w:pPr>
              <w:pStyle w:val="TableParagraph"/>
              <w:spacing w:line="273" w:lineRule="exact"/>
              <w:ind w:left="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K72.90,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K72.10,</w:t>
            </w:r>
          </w:p>
        </w:tc>
      </w:tr>
      <w:tr>
        <w:trPr>
          <w:trHeight w:val="308" w:hRule="atLeast"/>
        </w:trPr>
        <w:tc>
          <w:tcPr>
            <w:tcW w:w="9322" w:type="dxa"/>
            <w:gridSpan w:val="3"/>
          </w:tcPr>
          <w:p>
            <w:pPr>
              <w:pStyle w:val="TableParagraph"/>
              <w:spacing w:line="273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Abbreviations: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CLD=chronic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liver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disease,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ICD=</w:t>
            </w:r>
            <w:r>
              <w:rPr>
                <w:rFonts w:ascii="Calibri"/>
                <w:spacing w:val="-7"/>
                <w:sz w:val="24"/>
              </w:rPr>
              <w:t> </w:t>
            </w:r>
            <w:r>
              <w:rPr>
                <w:rFonts w:ascii="Calibri"/>
                <w:sz w:val="24"/>
              </w:rPr>
              <w:t>International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Classification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Diseases</w:t>
            </w:r>
          </w:p>
        </w:tc>
      </w:tr>
    </w:tbl>
    <w:p>
      <w:pPr>
        <w:spacing w:after="0" w:line="273" w:lineRule="exact"/>
        <w:rPr>
          <w:rFonts w:ascii="Calibri"/>
          <w:sz w:val="24"/>
        </w:rPr>
        <w:sectPr>
          <w:pgSz w:w="12240" w:h="15840"/>
          <w:pgMar w:top="1700" w:bottom="280" w:left="1320" w:right="1340"/>
        </w:sectPr>
      </w:pPr>
    </w:p>
    <w:p>
      <w:pPr>
        <w:pStyle w:val="BodyText"/>
        <w:spacing w:before="3"/>
        <w:rPr>
          <w:sz w:val="2"/>
        </w:rPr>
      </w:pPr>
    </w:p>
    <w:tbl>
      <w:tblPr>
        <w:tblW w:w="0" w:type="auto"/>
        <w:jc w:val="left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6"/>
        <w:gridCol w:w="2966"/>
        <w:gridCol w:w="3688"/>
      </w:tblGrid>
      <w:tr>
        <w:trPr>
          <w:trHeight w:val="495" w:hRule="atLeast"/>
        </w:trPr>
        <w:tc>
          <w:tcPr>
            <w:tcW w:w="8960" w:type="dxa"/>
            <w:gridSpan w:val="3"/>
            <w:shd w:val="clear" w:color="auto" w:fill="D9D9D9"/>
          </w:tcPr>
          <w:p>
            <w:pPr>
              <w:pStyle w:val="TableParagraph"/>
              <w:spacing w:line="241" w:lineRule="exact" w:before="11"/>
              <w:rPr>
                <w:b/>
                <w:sz w:val="21"/>
              </w:rPr>
            </w:pPr>
            <w:r>
              <w:rPr>
                <w:b/>
                <w:sz w:val="21"/>
              </w:rPr>
              <w:t>Table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B.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Identification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hemorrhage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using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ICD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9/10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codes</w:t>
            </w:r>
          </w:p>
          <w:p>
            <w:pPr>
              <w:pStyle w:val="TableParagraph"/>
              <w:spacing w:line="224" w:lineRule="exact" w:before="0"/>
              <w:rPr>
                <w:i/>
                <w:sz w:val="21"/>
              </w:rPr>
            </w:pPr>
            <w:r>
              <w:rPr>
                <w:b/>
                <w:sz w:val="21"/>
              </w:rPr>
              <w:t>*</w:t>
            </w:r>
            <w:r>
              <w:rPr>
                <w:i/>
                <w:sz w:val="21"/>
              </w:rPr>
              <w:t>Excludes</w:t>
            </w:r>
            <w:r>
              <w:rPr>
                <w:i/>
                <w:spacing w:val="-7"/>
                <w:sz w:val="21"/>
              </w:rPr>
              <w:t> </w:t>
            </w:r>
            <w:r>
              <w:rPr>
                <w:i/>
                <w:sz w:val="21"/>
              </w:rPr>
              <w:t>variceal</w:t>
            </w:r>
            <w:r>
              <w:rPr>
                <w:i/>
                <w:spacing w:val="-6"/>
                <w:sz w:val="21"/>
              </w:rPr>
              <w:t> </w:t>
            </w:r>
            <w:r>
              <w:rPr>
                <w:i/>
                <w:spacing w:val="-2"/>
                <w:sz w:val="21"/>
              </w:rPr>
              <w:t>hemorrhage,</w:t>
            </w:r>
          </w:p>
        </w:tc>
      </w:tr>
      <w:tr>
        <w:trPr>
          <w:trHeight w:val="498" w:hRule="atLeast"/>
        </w:trPr>
        <w:tc>
          <w:tcPr>
            <w:tcW w:w="2306" w:type="dxa"/>
            <w:shd w:val="clear" w:color="auto" w:fill="D9D9D9"/>
          </w:tcPr>
          <w:p>
            <w:pPr>
              <w:pStyle w:val="TableParagraph"/>
              <w:spacing w:line="240" w:lineRule="exact" w:before="0"/>
              <w:rPr>
                <w:b/>
                <w:sz w:val="21"/>
              </w:rPr>
            </w:pPr>
            <w:r>
              <w:rPr>
                <w:b/>
                <w:sz w:val="21"/>
              </w:rPr>
              <w:t>Location of </w:t>
            </w:r>
            <w:r>
              <w:rPr>
                <w:b/>
                <w:spacing w:val="-2"/>
                <w:sz w:val="21"/>
              </w:rPr>
              <w:t>Hemorrhage</w:t>
            </w:r>
          </w:p>
        </w:tc>
        <w:tc>
          <w:tcPr>
            <w:tcW w:w="2966" w:type="dxa"/>
            <w:shd w:val="clear" w:color="auto" w:fill="D9D9D9"/>
          </w:tcPr>
          <w:p>
            <w:pPr>
              <w:pStyle w:val="TableParagraph"/>
              <w:spacing w:before="14"/>
              <w:rPr>
                <w:b/>
                <w:sz w:val="21"/>
              </w:rPr>
            </w:pPr>
            <w:r>
              <w:rPr>
                <w:b/>
                <w:sz w:val="21"/>
              </w:rPr>
              <w:t>ICD9</w:t>
            </w:r>
            <w:r>
              <w:rPr>
                <w:b/>
                <w:spacing w:val="-4"/>
                <w:sz w:val="21"/>
              </w:rPr>
              <w:t> code</w:t>
            </w:r>
          </w:p>
        </w:tc>
        <w:tc>
          <w:tcPr>
            <w:tcW w:w="3688" w:type="dxa"/>
            <w:shd w:val="clear" w:color="auto" w:fill="D9D9D9"/>
          </w:tcPr>
          <w:p>
            <w:pPr>
              <w:pStyle w:val="TableParagraph"/>
              <w:spacing w:before="14"/>
              <w:rPr>
                <w:b/>
                <w:sz w:val="21"/>
              </w:rPr>
            </w:pPr>
            <w:r>
              <w:rPr>
                <w:b/>
                <w:sz w:val="21"/>
              </w:rPr>
              <w:t>ICD10</w:t>
            </w:r>
            <w:r>
              <w:rPr>
                <w:b/>
                <w:spacing w:val="-4"/>
                <w:sz w:val="21"/>
              </w:rPr>
              <w:t> code</w:t>
            </w:r>
          </w:p>
        </w:tc>
      </w:tr>
      <w:tr>
        <w:trPr>
          <w:trHeight w:val="551" w:hRule="atLeast"/>
        </w:trPr>
        <w:tc>
          <w:tcPr>
            <w:tcW w:w="2306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z w:val="21"/>
              </w:rPr>
              <w:t>Nose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&amp;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Respiratory</w:t>
            </w:r>
          </w:p>
        </w:tc>
        <w:tc>
          <w:tcPr>
            <w:tcW w:w="2966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z w:val="21"/>
              </w:rPr>
              <w:t>784.7,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784.8,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786.30,</w:t>
            </w: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2"/>
                <w:sz w:val="21"/>
              </w:rPr>
              <w:t>786.39</w:t>
            </w:r>
          </w:p>
        </w:tc>
        <w:tc>
          <w:tcPr>
            <w:tcW w:w="3688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z w:val="21"/>
              </w:rPr>
              <w:t>R04.0,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R04.1,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R04.2,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R04.89,</w:t>
            </w:r>
            <w:r>
              <w:rPr>
                <w:spacing w:val="-4"/>
                <w:sz w:val="21"/>
              </w:rPr>
              <w:t> R04.9</w:t>
            </w:r>
          </w:p>
        </w:tc>
      </w:tr>
      <w:tr>
        <w:trPr>
          <w:trHeight w:val="272" w:hRule="atLeast"/>
        </w:trPr>
        <w:tc>
          <w:tcPr>
            <w:tcW w:w="2306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pacing w:val="-2"/>
                <w:sz w:val="21"/>
              </w:rPr>
              <w:t>Cardiac</w:t>
            </w:r>
          </w:p>
        </w:tc>
        <w:tc>
          <w:tcPr>
            <w:tcW w:w="2966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pacing w:val="-2"/>
                <w:sz w:val="21"/>
              </w:rPr>
              <w:t>423.0</w:t>
            </w:r>
          </w:p>
        </w:tc>
        <w:tc>
          <w:tcPr>
            <w:tcW w:w="3688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pacing w:val="-2"/>
                <w:sz w:val="21"/>
              </w:rPr>
              <w:t>I31.2</w:t>
            </w:r>
          </w:p>
        </w:tc>
      </w:tr>
      <w:tr>
        <w:trPr>
          <w:trHeight w:val="2670" w:hRule="atLeast"/>
        </w:trPr>
        <w:tc>
          <w:tcPr>
            <w:tcW w:w="2306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pacing w:val="-2"/>
                <w:sz w:val="21"/>
              </w:rPr>
              <w:t>Gastrointestinal,</w:t>
            </w:r>
            <w:r>
              <w:rPr>
                <w:spacing w:val="19"/>
                <w:sz w:val="21"/>
              </w:rPr>
              <w:t> </w:t>
            </w:r>
            <w:r>
              <w:rPr>
                <w:spacing w:val="-2"/>
                <w:sz w:val="21"/>
              </w:rPr>
              <w:t>Upper*</w:t>
            </w:r>
          </w:p>
        </w:tc>
        <w:tc>
          <w:tcPr>
            <w:tcW w:w="2966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z w:val="21"/>
              </w:rPr>
              <w:t>530.21,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530.7,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531.0x,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531.2x,</w:t>
            </w:r>
          </w:p>
          <w:p>
            <w:pPr>
              <w:pStyle w:val="TableParagraph"/>
              <w:spacing w:line="241" w:lineRule="exact" w:before="1"/>
              <w:ind w:right="-15"/>
              <w:rPr>
                <w:sz w:val="21"/>
              </w:rPr>
            </w:pPr>
            <w:r>
              <w:rPr>
                <w:sz w:val="21"/>
              </w:rPr>
              <w:t>531.4x,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531.6x,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532.0x,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532,2x,</w:t>
            </w:r>
          </w:p>
          <w:p>
            <w:pPr>
              <w:pStyle w:val="TableParagraph"/>
              <w:spacing w:line="241" w:lineRule="exact" w:before="0"/>
              <w:ind w:right="-15"/>
              <w:rPr>
                <w:sz w:val="21"/>
              </w:rPr>
            </w:pPr>
            <w:r>
              <w:rPr>
                <w:sz w:val="21"/>
              </w:rPr>
              <w:t>532,4x,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532,6x,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533.0x,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533.2x,</w:t>
            </w:r>
          </w:p>
          <w:p>
            <w:pPr>
              <w:pStyle w:val="TableParagraph"/>
              <w:spacing w:line="241" w:lineRule="exact" w:before="1"/>
              <w:ind w:right="-15"/>
              <w:rPr>
                <w:sz w:val="21"/>
              </w:rPr>
            </w:pPr>
            <w:r>
              <w:rPr>
                <w:sz w:val="21"/>
              </w:rPr>
              <w:t>533.4x,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533.6x,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534.0x,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534.2x,</w:t>
            </w:r>
          </w:p>
          <w:p>
            <w:pPr>
              <w:pStyle w:val="TableParagraph"/>
              <w:spacing w:line="241" w:lineRule="exact" w:before="0"/>
              <w:rPr>
                <w:sz w:val="21"/>
              </w:rPr>
            </w:pPr>
            <w:r>
              <w:rPr>
                <w:sz w:val="21"/>
              </w:rPr>
              <w:t>534.4x,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534.6x,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535.01,</w:t>
            </w: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2"/>
                <w:sz w:val="21"/>
              </w:rPr>
              <w:t>535.11,</w:t>
            </w:r>
          </w:p>
          <w:p>
            <w:pPr>
              <w:pStyle w:val="TableParagraph"/>
              <w:spacing w:line="241" w:lineRule="exact" w:before="1"/>
              <w:rPr>
                <w:sz w:val="21"/>
              </w:rPr>
            </w:pPr>
            <w:r>
              <w:rPr>
                <w:sz w:val="21"/>
              </w:rPr>
              <w:t>535.21,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535.31,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535.41,</w:t>
            </w:r>
          </w:p>
          <w:p>
            <w:pPr>
              <w:pStyle w:val="TableParagraph"/>
              <w:spacing w:line="241" w:lineRule="exact" w:before="0"/>
              <w:rPr>
                <w:sz w:val="21"/>
              </w:rPr>
            </w:pPr>
            <w:r>
              <w:rPr>
                <w:spacing w:val="-2"/>
                <w:sz w:val="21"/>
              </w:rPr>
              <w:t>535.51,</w:t>
            </w: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z w:val="21"/>
              </w:rPr>
              <w:t>535.61,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535.71,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537.83,</w:t>
            </w:r>
          </w:p>
          <w:p>
            <w:pPr>
              <w:pStyle w:val="TableParagraph"/>
              <w:spacing w:line="241" w:lineRule="exact" w:before="1"/>
              <w:rPr>
                <w:sz w:val="21"/>
              </w:rPr>
            </w:pPr>
            <w:r>
              <w:rPr>
                <w:spacing w:val="-2"/>
                <w:sz w:val="21"/>
              </w:rPr>
              <w:t>537.84,</w:t>
            </w:r>
          </w:p>
          <w:p>
            <w:pPr>
              <w:pStyle w:val="TableParagraph"/>
              <w:spacing w:line="224" w:lineRule="exact" w:before="0"/>
              <w:rPr>
                <w:sz w:val="21"/>
              </w:rPr>
            </w:pPr>
            <w:r>
              <w:rPr>
                <w:sz w:val="21"/>
              </w:rPr>
              <w:t>562.02,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562.03,</w:t>
            </w:r>
          </w:p>
        </w:tc>
        <w:tc>
          <w:tcPr>
            <w:tcW w:w="3688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z w:val="21"/>
              </w:rPr>
              <w:t>K22.11,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K22.6,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K25.0,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K25.2,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K25.4, K25.6, K26.0,</w:t>
            </w:r>
          </w:p>
          <w:p>
            <w:pPr>
              <w:pStyle w:val="TableParagraph"/>
              <w:spacing w:line="241" w:lineRule="exact" w:before="0"/>
              <w:rPr>
                <w:sz w:val="21"/>
              </w:rPr>
            </w:pPr>
            <w:r>
              <w:rPr>
                <w:sz w:val="21"/>
              </w:rPr>
              <w:t>K26.2,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K26.4,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K26.6,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K27.0,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K27.2,</w:t>
            </w: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z w:val="21"/>
              </w:rPr>
              <w:t>K27.4,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K27.6,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K28.0,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K28.2,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K28.4, K28.6, K29.01, K29.21, K29.31, K29.41, K29.51, K29.61, K29.71, K29.81, K29.91, K31.811, K31.82</w:t>
            </w:r>
          </w:p>
        </w:tc>
      </w:tr>
      <w:tr>
        <w:trPr>
          <w:trHeight w:val="2255" w:hRule="atLeast"/>
        </w:trPr>
        <w:tc>
          <w:tcPr>
            <w:tcW w:w="2306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pacing w:val="-2"/>
                <w:sz w:val="21"/>
              </w:rPr>
              <w:t>Gastrointestinal,</w:t>
            </w:r>
            <w:r>
              <w:rPr>
                <w:spacing w:val="17"/>
                <w:sz w:val="21"/>
              </w:rPr>
              <w:t> </w:t>
            </w:r>
            <w:r>
              <w:rPr>
                <w:spacing w:val="-2"/>
                <w:sz w:val="21"/>
              </w:rPr>
              <w:t>Lower</w:t>
            </w:r>
          </w:p>
        </w:tc>
        <w:tc>
          <w:tcPr>
            <w:tcW w:w="2966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z w:val="21"/>
              </w:rPr>
              <w:t>562.12,562.13,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569.3,</w:t>
            </w:r>
            <w:r>
              <w:rPr>
                <w:spacing w:val="-9"/>
                <w:sz w:val="21"/>
              </w:rPr>
              <w:t> </w:t>
            </w:r>
            <w:r>
              <w:rPr>
                <w:spacing w:val="-2"/>
                <w:sz w:val="21"/>
              </w:rPr>
              <w:t>569.85,</w:t>
            </w: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z w:val="21"/>
              </w:rPr>
              <w:t>569.86,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455.2,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455.5,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455.8</w:t>
            </w:r>
          </w:p>
        </w:tc>
        <w:tc>
          <w:tcPr>
            <w:tcW w:w="3688" w:type="dxa"/>
          </w:tcPr>
          <w:p>
            <w:pPr>
              <w:pStyle w:val="TableParagraph"/>
              <w:spacing w:before="11"/>
              <w:ind w:right="8"/>
              <w:rPr>
                <w:sz w:val="21"/>
              </w:rPr>
            </w:pPr>
            <w:r>
              <w:rPr>
                <w:sz w:val="21"/>
              </w:rPr>
              <w:t>K50.011,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K50.111,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K50.811,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K50.911, K51.011,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K51.211,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K51.311,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K51.411, K51.511, K51.811, K51.911, K55.21, K57.01, K57.11, K57.13, K57.21, K57.31, K57.33, K57.41, K57.51, K57.53, K57.81, K57.91, K57.93, </w:t>
            </w:r>
            <w:r>
              <w:rPr>
                <w:spacing w:val="-2"/>
                <w:sz w:val="21"/>
              </w:rPr>
              <w:t>K62.5,</w:t>
            </w:r>
          </w:p>
          <w:p>
            <w:pPr>
              <w:pStyle w:val="TableParagraph"/>
              <w:spacing w:before="2"/>
              <w:rPr>
                <w:sz w:val="21"/>
              </w:rPr>
            </w:pPr>
            <w:r>
              <w:rPr>
                <w:spacing w:val="-2"/>
                <w:sz w:val="21"/>
              </w:rPr>
              <w:t>K63.81</w:t>
            </w:r>
          </w:p>
        </w:tc>
      </w:tr>
      <w:tr>
        <w:trPr>
          <w:trHeight w:val="738" w:hRule="atLeast"/>
        </w:trPr>
        <w:tc>
          <w:tcPr>
            <w:tcW w:w="2306" w:type="dxa"/>
          </w:tcPr>
          <w:p>
            <w:pPr>
              <w:pStyle w:val="TableParagraph"/>
              <w:spacing w:before="11"/>
              <w:ind w:right="120"/>
              <w:rPr>
                <w:sz w:val="21"/>
              </w:rPr>
            </w:pPr>
            <w:r>
              <w:rPr>
                <w:spacing w:val="-2"/>
                <w:sz w:val="21"/>
              </w:rPr>
              <w:t>Genitourinary (excluding</w:t>
            </w:r>
          </w:p>
          <w:p>
            <w:pPr>
              <w:pStyle w:val="TableParagraph"/>
              <w:spacing w:line="224" w:lineRule="exact" w:before="0"/>
              <w:rPr>
                <w:sz w:val="21"/>
              </w:rPr>
            </w:pPr>
            <w:r>
              <w:rPr>
                <w:sz w:val="21"/>
              </w:rPr>
              <w:t>microscopic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hematuria)</w:t>
            </w:r>
          </w:p>
        </w:tc>
        <w:tc>
          <w:tcPr>
            <w:tcW w:w="2966" w:type="dxa"/>
          </w:tcPr>
          <w:p>
            <w:pPr>
              <w:pStyle w:val="TableParagraph"/>
              <w:spacing w:line="241" w:lineRule="exact" w:before="11"/>
              <w:rPr>
                <w:sz w:val="21"/>
              </w:rPr>
            </w:pPr>
            <w:r>
              <w:rPr>
                <w:sz w:val="21"/>
              </w:rPr>
              <w:t>596.7,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599.70,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599.71,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627.0,</w:t>
            </w:r>
          </w:p>
          <w:p>
            <w:pPr>
              <w:pStyle w:val="TableParagraph"/>
              <w:spacing w:line="241" w:lineRule="exact" w:before="0"/>
              <w:rPr>
                <w:sz w:val="21"/>
              </w:rPr>
            </w:pPr>
            <w:r>
              <w:rPr>
                <w:spacing w:val="-2"/>
                <w:sz w:val="21"/>
              </w:rPr>
              <w:t>627.1,</w:t>
            </w:r>
          </w:p>
        </w:tc>
        <w:tc>
          <w:tcPr>
            <w:tcW w:w="3688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z w:val="21"/>
              </w:rPr>
              <w:t>N42.1,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N93.8,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N93.9,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N95.0,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R31.0, </w:t>
            </w:r>
            <w:r>
              <w:rPr>
                <w:spacing w:val="-2"/>
                <w:sz w:val="21"/>
              </w:rPr>
              <w:t>R31.9</w:t>
            </w:r>
          </w:p>
        </w:tc>
      </w:tr>
      <w:tr>
        <w:trPr>
          <w:trHeight w:val="272" w:hRule="atLeast"/>
        </w:trPr>
        <w:tc>
          <w:tcPr>
            <w:tcW w:w="2306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pacing w:val="-2"/>
                <w:sz w:val="21"/>
              </w:rPr>
              <w:t>Peritoneum</w:t>
            </w:r>
          </w:p>
        </w:tc>
        <w:tc>
          <w:tcPr>
            <w:tcW w:w="2966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pacing w:val="-2"/>
                <w:sz w:val="21"/>
              </w:rPr>
              <w:t>568.81</w:t>
            </w:r>
          </w:p>
        </w:tc>
        <w:tc>
          <w:tcPr>
            <w:tcW w:w="3688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pacing w:val="-2"/>
                <w:sz w:val="21"/>
              </w:rPr>
              <w:t>K66.1</w:t>
            </w:r>
          </w:p>
        </w:tc>
      </w:tr>
      <w:tr>
        <w:trPr>
          <w:trHeight w:val="270" w:hRule="atLeast"/>
        </w:trPr>
        <w:tc>
          <w:tcPr>
            <w:tcW w:w="2306" w:type="dxa"/>
          </w:tcPr>
          <w:p>
            <w:pPr>
              <w:pStyle w:val="TableParagraph"/>
              <w:spacing w:line="239" w:lineRule="exact" w:before="11"/>
              <w:rPr>
                <w:sz w:val="21"/>
              </w:rPr>
            </w:pPr>
            <w:r>
              <w:rPr>
                <w:sz w:val="21"/>
              </w:rPr>
              <w:t>Joint/Soft</w:t>
            </w:r>
            <w:r>
              <w:rPr>
                <w:spacing w:val="-11"/>
                <w:sz w:val="21"/>
              </w:rPr>
              <w:t> </w:t>
            </w:r>
            <w:r>
              <w:rPr>
                <w:spacing w:val="-2"/>
                <w:sz w:val="21"/>
              </w:rPr>
              <w:t>Tissue</w:t>
            </w:r>
          </w:p>
        </w:tc>
        <w:tc>
          <w:tcPr>
            <w:tcW w:w="2966" w:type="dxa"/>
          </w:tcPr>
          <w:p>
            <w:pPr>
              <w:pStyle w:val="TableParagraph"/>
              <w:spacing w:line="239" w:lineRule="exact" w:before="11"/>
              <w:rPr>
                <w:sz w:val="21"/>
              </w:rPr>
            </w:pPr>
            <w:r>
              <w:rPr>
                <w:sz w:val="21"/>
              </w:rPr>
              <w:t>719.1x,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782.7</w:t>
            </w:r>
          </w:p>
        </w:tc>
        <w:tc>
          <w:tcPr>
            <w:tcW w:w="3688" w:type="dxa"/>
          </w:tcPr>
          <w:p>
            <w:pPr>
              <w:pStyle w:val="TableParagraph"/>
              <w:spacing w:line="239" w:lineRule="exact" w:before="11"/>
              <w:rPr>
                <w:sz w:val="21"/>
              </w:rPr>
            </w:pPr>
            <w:r>
              <w:rPr>
                <w:sz w:val="21"/>
              </w:rPr>
              <w:t>M25.0xx,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M79.81,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4"/>
                <w:sz w:val="21"/>
              </w:rPr>
              <w:t>R23.3</w:t>
            </w:r>
          </w:p>
        </w:tc>
      </w:tr>
      <w:tr>
        <w:trPr>
          <w:trHeight w:val="740" w:hRule="atLeast"/>
        </w:trPr>
        <w:tc>
          <w:tcPr>
            <w:tcW w:w="2306" w:type="dxa"/>
          </w:tcPr>
          <w:p>
            <w:pPr>
              <w:pStyle w:val="TableParagraph"/>
              <w:spacing w:before="14"/>
              <w:rPr>
                <w:sz w:val="21"/>
              </w:rPr>
            </w:pPr>
            <w:r>
              <w:rPr>
                <w:spacing w:val="-2"/>
                <w:sz w:val="21"/>
              </w:rPr>
              <w:t>Intracranial</w:t>
            </w:r>
          </w:p>
        </w:tc>
        <w:tc>
          <w:tcPr>
            <w:tcW w:w="2966" w:type="dxa"/>
          </w:tcPr>
          <w:p>
            <w:pPr>
              <w:pStyle w:val="TableParagraph"/>
              <w:spacing w:line="241" w:lineRule="exact" w:before="14"/>
              <w:rPr>
                <w:sz w:val="21"/>
              </w:rPr>
            </w:pPr>
            <w:r>
              <w:rPr>
                <w:sz w:val="21"/>
              </w:rPr>
              <w:t>430,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431,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432.x,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S0634xA,</w:t>
            </w:r>
          </w:p>
          <w:p>
            <w:pPr>
              <w:pStyle w:val="TableParagraph"/>
              <w:spacing w:line="242" w:lineRule="exact" w:before="0"/>
              <w:ind w:right="20"/>
              <w:rPr>
                <w:sz w:val="21"/>
              </w:rPr>
            </w:pPr>
            <w:r>
              <w:rPr>
                <w:sz w:val="21"/>
              </w:rPr>
              <w:t>,S0635xA, S0636xA, S064XXA,S065XXA</w:t>
            </w:r>
            <w:r>
              <w:rPr>
                <w:spacing w:val="-15"/>
                <w:sz w:val="21"/>
              </w:rPr>
              <w:t> </w:t>
            </w:r>
            <w:r>
              <w:rPr>
                <w:sz w:val="21"/>
              </w:rPr>
              <w:t>,S066XXA</w:t>
            </w:r>
          </w:p>
        </w:tc>
        <w:tc>
          <w:tcPr>
            <w:tcW w:w="3688" w:type="dxa"/>
          </w:tcPr>
          <w:p>
            <w:pPr>
              <w:pStyle w:val="TableParagraph"/>
              <w:spacing w:before="14"/>
              <w:rPr>
                <w:sz w:val="21"/>
              </w:rPr>
            </w:pPr>
            <w:r>
              <w:rPr>
                <w:sz w:val="21"/>
              </w:rPr>
              <w:t>I60.x,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I61.x,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I62.x,</w:t>
            </w:r>
          </w:p>
        </w:tc>
      </w:tr>
      <w:tr>
        <w:trPr>
          <w:trHeight w:val="1261" w:hRule="atLeast"/>
        </w:trPr>
        <w:tc>
          <w:tcPr>
            <w:tcW w:w="2306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pacing w:val="-2"/>
                <w:sz w:val="21"/>
              </w:rPr>
              <w:t>Orbital</w:t>
            </w:r>
          </w:p>
        </w:tc>
        <w:tc>
          <w:tcPr>
            <w:tcW w:w="2966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z w:val="21"/>
              </w:rPr>
              <w:t>360.43,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362.81,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363.61,</w:t>
            </w:r>
          </w:p>
          <w:p>
            <w:pPr>
              <w:pStyle w:val="TableParagraph"/>
              <w:spacing w:line="241" w:lineRule="exact" w:before="1"/>
              <w:rPr>
                <w:sz w:val="21"/>
              </w:rPr>
            </w:pPr>
            <w:r>
              <w:rPr>
                <w:spacing w:val="-2"/>
                <w:sz w:val="21"/>
              </w:rPr>
              <w:t>363.62,</w:t>
            </w:r>
          </w:p>
          <w:p>
            <w:pPr>
              <w:pStyle w:val="TableParagraph"/>
              <w:spacing w:line="241" w:lineRule="exact" w:before="0"/>
              <w:rPr>
                <w:sz w:val="21"/>
              </w:rPr>
            </w:pPr>
            <w:r>
              <w:rPr>
                <w:sz w:val="21"/>
              </w:rPr>
              <w:t>363.72,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364.41,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374.81,</w:t>
            </w: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2"/>
                <w:sz w:val="21"/>
              </w:rPr>
              <w:t>376.32,</w:t>
            </w: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z w:val="21"/>
              </w:rPr>
              <w:t>377.42,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379.23,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380.31</w:t>
            </w:r>
          </w:p>
        </w:tc>
        <w:tc>
          <w:tcPr>
            <w:tcW w:w="3688" w:type="dxa"/>
          </w:tcPr>
          <w:p>
            <w:pPr>
              <w:pStyle w:val="TableParagraph"/>
              <w:spacing w:before="11"/>
              <w:rPr>
                <w:sz w:val="21"/>
              </w:rPr>
            </w:pPr>
            <w:r>
              <w:rPr>
                <w:sz w:val="21"/>
              </w:rPr>
              <w:t>H05.23x,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H21.0x,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H31.30x,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H31.31x, H31.41x, H35.6X, H35.73x, H43.1x, </w:t>
            </w:r>
            <w:r>
              <w:rPr>
                <w:spacing w:val="-2"/>
                <w:sz w:val="21"/>
              </w:rPr>
              <w:t>H44.81x,</w:t>
            </w:r>
          </w:p>
          <w:p>
            <w:pPr>
              <w:pStyle w:val="TableParagraph"/>
              <w:spacing w:before="0"/>
              <w:rPr>
                <w:sz w:val="21"/>
              </w:rPr>
            </w:pPr>
            <w:r>
              <w:rPr>
                <w:sz w:val="21"/>
              </w:rPr>
              <w:t>H47.02x,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H61.12x</w:t>
            </w:r>
          </w:p>
        </w:tc>
      </w:tr>
      <w:tr>
        <w:trPr>
          <w:trHeight w:val="531" w:hRule="atLeast"/>
        </w:trPr>
        <w:tc>
          <w:tcPr>
            <w:tcW w:w="2306" w:type="dxa"/>
          </w:tcPr>
          <w:p>
            <w:pPr>
              <w:pStyle w:val="TableParagraph"/>
              <w:spacing w:before="14"/>
              <w:ind w:right="481"/>
              <w:rPr>
                <w:sz w:val="21"/>
              </w:rPr>
            </w:pPr>
            <w:r>
              <w:rPr>
                <w:sz w:val="21"/>
              </w:rPr>
              <w:t>Hemorrhage, not otherwise</w:t>
            </w:r>
            <w:r>
              <w:rPr>
                <w:spacing w:val="-15"/>
                <w:sz w:val="21"/>
              </w:rPr>
              <w:t> </w:t>
            </w:r>
            <w:r>
              <w:rPr>
                <w:sz w:val="21"/>
              </w:rPr>
              <w:t>specified</w:t>
            </w:r>
          </w:p>
        </w:tc>
        <w:tc>
          <w:tcPr>
            <w:tcW w:w="2966" w:type="dxa"/>
          </w:tcPr>
          <w:p>
            <w:pPr>
              <w:pStyle w:val="TableParagraph"/>
              <w:spacing w:before="14"/>
              <w:rPr>
                <w:sz w:val="21"/>
              </w:rPr>
            </w:pPr>
            <w:r>
              <w:rPr>
                <w:spacing w:val="-2"/>
                <w:sz w:val="21"/>
              </w:rPr>
              <w:t>459.0</w:t>
            </w:r>
          </w:p>
        </w:tc>
        <w:tc>
          <w:tcPr>
            <w:tcW w:w="3688" w:type="dxa"/>
          </w:tcPr>
          <w:p>
            <w:pPr>
              <w:pStyle w:val="TableParagraph"/>
              <w:spacing w:before="14"/>
              <w:rPr>
                <w:sz w:val="21"/>
              </w:rPr>
            </w:pPr>
            <w:r>
              <w:rPr>
                <w:spacing w:val="-5"/>
                <w:sz w:val="21"/>
              </w:rPr>
              <w:t>R58</w:t>
            </w:r>
          </w:p>
        </w:tc>
      </w:tr>
    </w:tbl>
    <w:sectPr>
      <w:pgSz w:w="12240" w:h="15840"/>
      <w:pgMar w:top="1400" w:bottom="280" w:left="132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84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3" w:lineRule="exact"/>
      <w:ind w:left="120"/>
    </w:pPr>
    <w:rPr>
      <w:rFonts w:ascii="Calibri" w:hAnsi="Calibri" w:eastAsia="Calibri" w:cs="Calibri"/>
      <w:b/>
      <w:bCs/>
      <w:sz w:val="56"/>
      <w:szCs w:val="56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40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ind w:left="1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fzalamber@wustl.edu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dcterms:created xsi:type="dcterms:W3CDTF">2023-06-13T15:36:47Z</dcterms:created>
  <dcterms:modified xsi:type="dcterms:W3CDTF">2023-06-13T15:36:47Z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2023-06-13T00:00:00Z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2023-06-13T00:00:00Z</vt:filetime>
  </property>
  <property fmtid="{D5CDD505-2E9C-101B-9397-08002B2CF9AE}" pid="5" name="Producer">
    <vt:lpwstr>Adobe PDF Library 23.1.206</vt:lpwstr>
  </property>
</Properties>
</file>