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A742B" w14:textId="77777777" w:rsidR="00B8627C" w:rsidRPr="001C278C" w:rsidRDefault="00B8627C" w:rsidP="00B8627C">
      <w:pPr>
        <w:suppressAutoHyphens w:val="0"/>
        <w:autoSpaceDE w:val="0"/>
        <w:autoSpaceDN w:val="0"/>
        <w:adjustRightInd w:val="0"/>
        <w:spacing w:after="0" w:line="480" w:lineRule="auto"/>
        <w:jc w:val="both"/>
        <w:rPr>
          <w:b/>
          <w:lang w:val="en-US"/>
        </w:rPr>
      </w:pPr>
      <w:r w:rsidRPr="001C278C">
        <w:rPr>
          <w:b/>
          <w:lang w:val="en-US"/>
        </w:rPr>
        <w:t>SUPPLEMENTARY DATA</w:t>
      </w:r>
    </w:p>
    <w:p w14:paraId="17A7657F" w14:textId="77777777" w:rsidR="00B8627C" w:rsidRDefault="00B8627C" w:rsidP="00B8627C">
      <w:pPr>
        <w:suppressAutoHyphens w:val="0"/>
        <w:autoSpaceDE w:val="0"/>
        <w:autoSpaceDN w:val="0"/>
        <w:adjustRightInd w:val="0"/>
        <w:spacing w:after="0" w:line="480" w:lineRule="auto"/>
        <w:jc w:val="both"/>
        <w:rPr>
          <w:b/>
          <w:i/>
          <w:sz w:val="20"/>
          <w:lang w:val="en-US"/>
        </w:rPr>
      </w:pPr>
    </w:p>
    <w:tbl>
      <w:tblPr>
        <w:tblW w:w="793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"/>
        <w:gridCol w:w="1548"/>
        <w:gridCol w:w="1129"/>
        <w:gridCol w:w="1029"/>
        <w:gridCol w:w="839"/>
        <w:gridCol w:w="855"/>
        <w:gridCol w:w="855"/>
        <w:gridCol w:w="674"/>
      </w:tblGrid>
      <w:tr w:rsidR="00B8627C" w:rsidRPr="00592AC7" w14:paraId="2C6E9611" w14:textId="77777777" w:rsidTr="00EA25B5">
        <w:trPr>
          <w:trHeight w:val="284"/>
          <w:jc w:val="center"/>
        </w:trPr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D84BE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b/>
                <w:bCs/>
                <w:color w:val="000000"/>
                <w:kern w:val="24"/>
                <w:sz w:val="14"/>
                <w:szCs w:val="14"/>
                <w:lang w:eastAsia="es-ES"/>
              </w:rPr>
              <w:t>Accession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A2B11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b/>
                <w:bCs/>
                <w:color w:val="000000"/>
                <w:kern w:val="24"/>
                <w:sz w:val="14"/>
                <w:szCs w:val="14"/>
                <w:lang w:eastAsia="es-ES"/>
              </w:rPr>
              <w:t>Description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2EDF0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b/>
                <w:bCs/>
                <w:color w:val="000000"/>
                <w:kern w:val="24"/>
                <w:sz w:val="14"/>
                <w:szCs w:val="14"/>
                <w:lang w:eastAsia="es-ES"/>
              </w:rPr>
              <w:t>Score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EE3F6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b/>
                <w:bCs/>
                <w:color w:val="000000"/>
                <w:kern w:val="24"/>
                <w:sz w:val="14"/>
                <w:szCs w:val="14"/>
                <w:lang w:eastAsia="es-ES"/>
              </w:rPr>
              <w:t>Coverage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C0AB0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b/>
                <w:bCs/>
                <w:color w:val="000000"/>
                <w:kern w:val="24"/>
                <w:sz w:val="14"/>
                <w:szCs w:val="14"/>
                <w:lang w:eastAsia="es-ES"/>
              </w:rPr>
              <w:t># Proteins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2F63B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b/>
                <w:bCs/>
                <w:color w:val="000000"/>
                <w:kern w:val="24"/>
                <w:sz w:val="14"/>
                <w:szCs w:val="14"/>
                <w:lang w:eastAsia="es-ES"/>
              </w:rPr>
              <w:t># Unique Peptides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CE551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b/>
                <w:bCs/>
                <w:color w:val="000000"/>
                <w:kern w:val="24"/>
                <w:sz w:val="14"/>
                <w:szCs w:val="14"/>
                <w:lang w:eastAsia="es-ES"/>
              </w:rPr>
              <w:t># Peptides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60A85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b/>
                <w:bCs/>
                <w:color w:val="000000"/>
                <w:kern w:val="24"/>
                <w:sz w:val="14"/>
                <w:szCs w:val="14"/>
                <w:lang w:eastAsia="es-ES"/>
              </w:rPr>
              <w:t>MW (kDa)</w:t>
            </w:r>
          </w:p>
        </w:tc>
      </w:tr>
      <w:tr w:rsidR="00B8627C" w:rsidRPr="00592AC7" w14:paraId="3246DE99" w14:textId="77777777" w:rsidTr="00EA25B5">
        <w:trPr>
          <w:trHeight w:val="284"/>
          <w:jc w:val="center"/>
        </w:trPr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FC67F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color w:val="000000"/>
                <w:kern w:val="24"/>
                <w:sz w:val="14"/>
                <w:szCs w:val="14"/>
                <w:lang w:eastAsia="es-ES"/>
              </w:rPr>
              <w:t>Q9D6F4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EB215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color w:val="000000"/>
                <w:kern w:val="24"/>
                <w:sz w:val="14"/>
                <w:szCs w:val="14"/>
                <w:lang w:eastAsia="es-ES"/>
              </w:rPr>
              <w:t>GBRA4_MOUSE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28F18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color w:val="000000"/>
                <w:kern w:val="24"/>
                <w:sz w:val="14"/>
                <w:szCs w:val="14"/>
                <w:lang w:eastAsia="es-ES"/>
              </w:rPr>
              <w:t>309,37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85FCA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color w:val="000000"/>
                <w:kern w:val="24"/>
                <w:sz w:val="14"/>
                <w:szCs w:val="14"/>
                <w:lang w:eastAsia="es-ES"/>
              </w:rPr>
              <w:t>33,70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F9A95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Calibri" w:hAnsi="Arial" w:cs="Times New Roman"/>
                <w:color w:val="000000" w:themeColor="text1"/>
                <w:kern w:val="24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A0392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Calibri" w:hAnsi="Arial" w:cs="Times New Roman"/>
                <w:color w:val="000000" w:themeColor="text1"/>
                <w:kern w:val="24"/>
                <w:sz w:val="14"/>
                <w:szCs w:val="14"/>
                <w:lang w:eastAsia="es-ES"/>
              </w:rPr>
              <w:t>16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7CFC7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Calibri" w:hAnsi="Arial" w:cs="Times New Roman"/>
                <w:color w:val="000000" w:themeColor="text1"/>
                <w:kern w:val="24"/>
                <w:sz w:val="14"/>
                <w:szCs w:val="14"/>
                <w:lang w:eastAsia="es-ES"/>
              </w:rPr>
              <w:t>17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AFA08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Calibri" w:hAnsi="Arial" w:cs="Times New Roman"/>
                <w:color w:val="000000" w:themeColor="text1"/>
                <w:kern w:val="24"/>
                <w:sz w:val="14"/>
                <w:szCs w:val="14"/>
                <w:lang w:eastAsia="es-ES"/>
              </w:rPr>
              <w:t>60,8</w:t>
            </w:r>
          </w:p>
        </w:tc>
      </w:tr>
      <w:tr w:rsidR="00B8627C" w:rsidRPr="00592AC7" w14:paraId="30E0A00F" w14:textId="77777777" w:rsidTr="00EA25B5">
        <w:trPr>
          <w:trHeight w:val="284"/>
          <w:jc w:val="center"/>
        </w:trPr>
        <w:tc>
          <w:tcPr>
            <w:tcW w:w="793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65751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color w:val="000000"/>
                <w:kern w:val="24"/>
                <w:sz w:val="14"/>
                <w:szCs w:val="14"/>
                <w:lang w:eastAsia="es-ES"/>
              </w:rPr>
              <w:t> </w:t>
            </w:r>
          </w:p>
        </w:tc>
      </w:tr>
      <w:tr w:rsidR="00B8627C" w:rsidRPr="00592AC7" w14:paraId="59681F52" w14:textId="77777777" w:rsidTr="00EA25B5">
        <w:trPr>
          <w:trHeight w:val="284"/>
          <w:jc w:val="center"/>
        </w:trPr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92CED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b/>
                <w:bCs/>
                <w:color w:val="000000"/>
                <w:kern w:val="24"/>
                <w:sz w:val="14"/>
                <w:szCs w:val="14"/>
                <w:lang w:eastAsia="es-ES"/>
              </w:rPr>
              <w:t>Sample 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D52E5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b/>
                <w:bCs/>
                <w:color w:val="000000"/>
                <w:kern w:val="24"/>
                <w:sz w:val="14"/>
                <w:szCs w:val="14"/>
                <w:lang w:eastAsia="es-ES"/>
              </w:rPr>
              <w:t>Peptide sequence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1EA04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b/>
                <w:bCs/>
                <w:color w:val="000000"/>
                <w:kern w:val="24"/>
                <w:sz w:val="14"/>
                <w:szCs w:val="14"/>
                <w:lang w:eastAsia="es-ES"/>
              </w:rPr>
              <w:t>Modifications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B7897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b/>
                <w:bCs/>
                <w:color w:val="000000"/>
                <w:kern w:val="24"/>
                <w:sz w:val="14"/>
                <w:szCs w:val="14"/>
                <w:lang w:eastAsia="es-ES"/>
              </w:rPr>
              <w:t>phoSite Probab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E0A3A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b/>
                <w:bCs/>
                <w:color w:val="000000"/>
                <w:kern w:val="24"/>
                <w:sz w:val="14"/>
                <w:szCs w:val="14"/>
                <w:lang w:eastAsia="es-ES"/>
              </w:rPr>
              <w:t>q-Value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B36F3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b/>
                <w:bCs/>
                <w:color w:val="000000"/>
                <w:kern w:val="24"/>
                <w:sz w:val="14"/>
                <w:szCs w:val="14"/>
                <w:lang w:eastAsia="es-ES"/>
              </w:rPr>
              <w:t>MH+ (Da)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7E6FD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b/>
                <w:bCs/>
                <w:color w:val="000000"/>
                <w:kern w:val="24"/>
                <w:sz w:val="14"/>
                <w:szCs w:val="14"/>
                <w:lang w:eastAsia="es-ES"/>
              </w:rPr>
              <w:t>ΔM (ppm)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5422A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b/>
                <w:bCs/>
                <w:color w:val="000000"/>
                <w:kern w:val="24"/>
                <w:sz w:val="14"/>
                <w:szCs w:val="14"/>
                <w:lang w:eastAsia="es-ES"/>
              </w:rPr>
              <w:t>RT (min)</w:t>
            </w:r>
          </w:p>
        </w:tc>
      </w:tr>
      <w:tr w:rsidR="00B8627C" w:rsidRPr="00592AC7" w14:paraId="4DD2C14F" w14:textId="77777777" w:rsidTr="00EA25B5">
        <w:trPr>
          <w:trHeight w:val="284"/>
          <w:jc w:val="center"/>
        </w:trPr>
        <w:tc>
          <w:tcPr>
            <w:tcW w:w="10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6735F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b/>
                <w:bCs/>
                <w:color w:val="000000"/>
                <w:kern w:val="24"/>
                <w:sz w:val="14"/>
                <w:szCs w:val="14"/>
                <w:lang w:eastAsia="es-ES"/>
              </w:rPr>
              <w:t>ATP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4AA2C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color w:val="000000"/>
                <w:kern w:val="24"/>
                <w:sz w:val="14"/>
                <w:szCs w:val="14"/>
                <w:lang w:eastAsia="es-ES"/>
              </w:rPr>
              <w:t>TSAVQESSEATPK</w:t>
            </w:r>
          </w:p>
        </w:tc>
        <w:tc>
          <w:tcPr>
            <w:tcW w:w="1129" w:type="dxa"/>
            <w:tcBorders>
              <w:top w:val="single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14FB2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color w:val="000000"/>
                <w:kern w:val="24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029" w:type="dxa"/>
            <w:tcBorders>
              <w:top w:val="single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B4737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color w:val="000000"/>
                <w:kern w:val="24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839" w:type="dxa"/>
            <w:tcBorders>
              <w:top w:val="single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7E3DE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color w:val="000000"/>
                <w:kern w:val="24"/>
                <w:sz w:val="14"/>
                <w:szCs w:val="14"/>
                <w:lang w:eastAsia="es-ES"/>
              </w:rPr>
              <w:t>0,002</w:t>
            </w:r>
          </w:p>
        </w:tc>
        <w:tc>
          <w:tcPr>
            <w:tcW w:w="855" w:type="dxa"/>
            <w:tcBorders>
              <w:top w:val="single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DA227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color w:val="000000"/>
                <w:kern w:val="24"/>
                <w:sz w:val="14"/>
                <w:szCs w:val="14"/>
                <w:lang w:eastAsia="es-ES"/>
              </w:rPr>
              <w:t>1334,64</w:t>
            </w:r>
          </w:p>
        </w:tc>
        <w:tc>
          <w:tcPr>
            <w:tcW w:w="855" w:type="dxa"/>
            <w:tcBorders>
              <w:top w:val="single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2783A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color w:val="000000"/>
                <w:kern w:val="24"/>
                <w:sz w:val="14"/>
                <w:szCs w:val="14"/>
                <w:lang w:eastAsia="es-ES"/>
              </w:rPr>
              <w:t>-1,09</w:t>
            </w:r>
          </w:p>
        </w:tc>
        <w:tc>
          <w:tcPr>
            <w:tcW w:w="674" w:type="dxa"/>
            <w:tcBorders>
              <w:top w:val="single" w:sz="8" w:space="0" w:color="000000"/>
              <w:left w:val="dotted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B1C8B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color w:val="000000"/>
                <w:kern w:val="24"/>
                <w:sz w:val="14"/>
                <w:szCs w:val="14"/>
                <w:lang w:eastAsia="es-ES"/>
              </w:rPr>
              <w:t>15,99</w:t>
            </w:r>
          </w:p>
        </w:tc>
      </w:tr>
      <w:tr w:rsidR="00B8627C" w:rsidRPr="00592AC7" w14:paraId="5F28F99F" w14:textId="77777777" w:rsidTr="00EA25B5">
        <w:trPr>
          <w:trHeight w:val="284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4ED21C" w14:textId="77777777" w:rsidR="00B8627C" w:rsidRPr="00592AC7" w:rsidRDefault="00B8627C" w:rsidP="00EA25B5">
            <w:pPr>
              <w:suppressAutoHyphens w:val="0"/>
              <w:spacing w:after="0" w:line="48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548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F50EA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color w:val="000000"/>
                <w:kern w:val="24"/>
                <w:sz w:val="14"/>
                <w:szCs w:val="14"/>
                <w:lang w:eastAsia="es-ES"/>
              </w:rPr>
              <w:t>TSAVQESSEA</w:t>
            </w:r>
            <w:r w:rsidRPr="00592AC7">
              <w:rPr>
                <w:rFonts w:ascii="Arial" w:eastAsia="Times New Roman" w:hAnsi="Arial" w:cs="Times New Roman"/>
                <w:b/>
                <w:bCs/>
                <w:color w:val="FF0000"/>
                <w:kern w:val="24"/>
                <w:sz w:val="14"/>
                <w:szCs w:val="14"/>
                <w:lang w:eastAsia="es-ES"/>
              </w:rPr>
              <w:t>t</w:t>
            </w:r>
            <w:r w:rsidRPr="00592AC7">
              <w:rPr>
                <w:rFonts w:ascii="Arial" w:eastAsia="Times New Roman" w:hAnsi="Arial" w:cs="Times New Roman"/>
                <w:color w:val="000000"/>
                <w:kern w:val="24"/>
                <w:sz w:val="14"/>
                <w:szCs w:val="14"/>
                <w:lang w:eastAsia="es-ES"/>
              </w:rPr>
              <w:t>PK</w:t>
            </w:r>
          </w:p>
        </w:tc>
        <w:tc>
          <w:tcPr>
            <w:tcW w:w="112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00B8E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color w:val="000000"/>
                <w:kern w:val="24"/>
                <w:sz w:val="14"/>
                <w:szCs w:val="14"/>
                <w:lang w:eastAsia="es-ES"/>
              </w:rPr>
              <w:t>T11(Phospho)</w:t>
            </w:r>
          </w:p>
        </w:tc>
        <w:tc>
          <w:tcPr>
            <w:tcW w:w="102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82BAA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color w:val="000000"/>
                <w:kern w:val="24"/>
                <w:sz w:val="14"/>
                <w:szCs w:val="14"/>
                <w:lang w:eastAsia="es-ES"/>
              </w:rPr>
              <w:t>T(11): 100,0</w:t>
            </w:r>
          </w:p>
        </w:tc>
        <w:tc>
          <w:tcPr>
            <w:tcW w:w="83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FF3E0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color w:val="000000"/>
                <w:kern w:val="24"/>
                <w:sz w:val="14"/>
                <w:szCs w:val="14"/>
                <w:lang w:eastAsia="es-ES"/>
              </w:rPr>
              <w:t>0,012</w:t>
            </w:r>
          </w:p>
        </w:tc>
        <w:tc>
          <w:tcPr>
            <w:tcW w:w="85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B870D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color w:val="000000"/>
                <w:kern w:val="24"/>
                <w:sz w:val="14"/>
                <w:szCs w:val="14"/>
                <w:lang w:eastAsia="es-ES"/>
              </w:rPr>
              <w:t>1414,61</w:t>
            </w:r>
          </w:p>
        </w:tc>
        <w:tc>
          <w:tcPr>
            <w:tcW w:w="85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90425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color w:val="000000"/>
                <w:kern w:val="24"/>
                <w:sz w:val="14"/>
                <w:szCs w:val="14"/>
                <w:lang w:eastAsia="es-ES"/>
              </w:rPr>
              <w:t>-1,91</w:t>
            </w:r>
          </w:p>
        </w:tc>
        <w:tc>
          <w:tcPr>
            <w:tcW w:w="67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0D42F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color w:val="000000"/>
                <w:kern w:val="24"/>
                <w:sz w:val="14"/>
                <w:szCs w:val="14"/>
                <w:lang w:eastAsia="es-ES"/>
              </w:rPr>
              <w:t>15,92</w:t>
            </w:r>
          </w:p>
        </w:tc>
      </w:tr>
      <w:tr w:rsidR="00B8627C" w:rsidRPr="00592AC7" w14:paraId="04A9CBB1" w14:textId="77777777" w:rsidTr="00EA25B5">
        <w:trPr>
          <w:trHeight w:val="284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FD2DD7" w14:textId="77777777" w:rsidR="00B8627C" w:rsidRPr="00592AC7" w:rsidRDefault="00B8627C" w:rsidP="00EA25B5">
            <w:pPr>
              <w:suppressAutoHyphens w:val="0"/>
              <w:spacing w:after="0" w:line="48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548" w:type="dxa"/>
            <w:tcBorders>
              <w:top w:val="dotted" w:sz="8" w:space="0" w:color="000000"/>
              <w:left w:val="single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46C38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color w:val="000000"/>
                <w:kern w:val="24"/>
                <w:sz w:val="14"/>
                <w:szCs w:val="14"/>
                <w:lang w:eastAsia="es-ES"/>
              </w:rPr>
              <w:t>AHLASSPNPFSR</w:t>
            </w:r>
          </w:p>
        </w:tc>
        <w:tc>
          <w:tcPr>
            <w:tcW w:w="112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87562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color w:val="000000"/>
                <w:kern w:val="24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02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C3707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color w:val="000000"/>
                <w:kern w:val="24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83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7B5EC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color w:val="000000"/>
                <w:kern w:val="24"/>
                <w:sz w:val="14"/>
                <w:szCs w:val="14"/>
                <w:lang w:eastAsia="es-ES"/>
              </w:rPr>
              <w:t>0,038</w:t>
            </w:r>
          </w:p>
        </w:tc>
        <w:tc>
          <w:tcPr>
            <w:tcW w:w="85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B0948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color w:val="000000"/>
                <w:kern w:val="24"/>
                <w:sz w:val="14"/>
                <w:szCs w:val="14"/>
                <w:lang w:eastAsia="es-ES"/>
              </w:rPr>
              <w:t>1283,64</w:t>
            </w:r>
          </w:p>
        </w:tc>
        <w:tc>
          <w:tcPr>
            <w:tcW w:w="85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FF43B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color w:val="000000"/>
                <w:kern w:val="24"/>
                <w:sz w:val="14"/>
                <w:szCs w:val="14"/>
                <w:lang w:eastAsia="es-ES"/>
              </w:rPr>
              <w:t>-3,28</w:t>
            </w:r>
          </w:p>
        </w:tc>
        <w:tc>
          <w:tcPr>
            <w:tcW w:w="67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97CE9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color w:val="000000"/>
                <w:kern w:val="24"/>
                <w:sz w:val="14"/>
                <w:szCs w:val="14"/>
                <w:lang w:eastAsia="es-ES"/>
              </w:rPr>
              <w:t>19,81</w:t>
            </w:r>
          </w:p>
        </w:tc>
      </w:tr>
      <w:tr w:rsidR="00B8627C" w:rsidRPr="00592AC7" w14:paraId="61DE7369" w14:textId="77777777" w:rsidTr="00EA25B5">
        <w:trPr>
          <w:trHeight w:val="284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F7FF00" w14:textId="77777777" w:rsidR="00B8627C" w:rsidRPr="00592AC7" w:rsidRDefault="00B8627C" w:rsidP="00EA25B5">
            <w:pPr>
              <w:suppressAutoHyphens w:val="0"/>
              <w:spacing w:after="0" w:line="48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548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E513B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color w:val="000000"/>
                <w:kern w:val="24"/>
                <w:sz w:val="14"/>
                <w:szCs w:val="14"/>
                <w:lang w:eastAsia="es-ES"/>
              </w:rPr>
              <w:t>AHLAS</w:t>
            </w:r>
            <w:r w:rsidRPr="00592AC7">
              <w:rPr>
                <w:rFonts w:ascii="Arial" w:eastAsia="Times New Roman" w:hAnsi="Arial" w:cs="Times New Roman"/>
                <w:b/>
                <w:bCs/>
                <w:color w:val="FF0000"/>
                <w:kern w:val="24"/>
                <w:sz w:val="14"/>
                <w:szCs w:val="14"/>
                <w:lang w:eastAsia="es-ES"/>
              </w:rPr>
              <w:t>s</w:t>
            </w:r>
            <w:r w:rsidRPr="00592AC7">
              <w:rPr>
                <w:rFonts w:ascii="Arial" w:eastAsia="Times New Roman" w:hAnsi="Arial" w:cs="Times New Roman"/>
                <w:color w:val="000000"/>
                <w:kern w:val="24"/>
                <w:sz w:val="14"/>
                <w:szCs w:val="14"/>
                <w:lang w:eastAsia="es-ES"/>
              </w:rPr>
              <w:t>PNPFSR</w:t>
            </w:r>
          </w:p>
        </w:tc>
        <w:tc>
          <w:tcPr>
            <w:tcW w:w="1129" w:type="dxa"/>
            <w:tcBorders>
              <w:top w:val="dotted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F210B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color w:val="000000"/>
                <w:kern w:val="24"/>
                <w:sz w:val="14"/>
                <w:szCs w:val="14"/>
                <w:lang w:eastAsia="es-ES"/>
              </w:rPr>
              <w:t>S6(Phospho)</w:t>
            </w:r>
          </w:p>
        </w:tc>
        <w:tc>
          <w:tcPr>
            <w:tcW w:w="1029" w:type="dxa"/>
            <w:tcBorders>
              <w:top w:val="dotted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39BC9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color w:val="000000"/>
                <w:kern w:val="24"/>
                <w:sz w:val="14"/>
                <w:szCs w:val="14"/>
                <w:lang w:eastAsia="es-ES"/>
              </w:rPr>
              <w:t>S(6): 98,3</w:t>
            </w:r>
          </w:p>
        </w:tc>
        <w:tc>
          <w:tcPr>
            <w:tcW w:w="839" w:type="dxa"/>
            <w:tcBorders>
              <w:top w:val="dotted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C1A00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color w:val="000000"/>
                <w:kern w:val="24"/>
                <w:sz w:val="14"/>
                <w:szCs w:val="14"/>
                <w:lang w:eastAsia="es-ES"/>
              </w:rPr>
              <w:t>0,131</w:t>
            </w:r>
          </w:p>
        </w:tc>
        <w:tc>
          <w:tcPr>
            <w:tcW w:w="855" w:type="dxa"/>
            <w:tcBorders>
              <w:top w:val="dotted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E63BD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color w:val="000000"/>
                <w:kern w:val="24"/>
                <w:sz w:val="14"/>
                <w:szCs w:val="14"/>
                <w:lang w:eastAsia="es-ES"/>
              </w:rPr>
              <w:t>1363,61</w:t>
            </w:r>
          </w:p>
        </w:tc>
        <w:tc>
          <w:tcPr>
            <w:tcW w:w="855" w:type="dxa"/>
            <w:tcBorders>
              <w:top w:val="dotted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53FAB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color w:val="000000"/>
                <w:kern w:val="24"/>
                <w:sz w:val="14"/>
                <w:szCs w:val="14"/>
                <w:lang w:eastAsia="es-ES"/>
              </w:rPr>
              <w:t>-5,17</w:t>
            </w:r>
          </w:p>
        </w:tc>
        <w:tc>
          <w:tcPr>
            <w:tcW w:w="674" w:type="dxa"/>
            <w:tcBorders>
              <w:top w:val="dotted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8868D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color w:val="000000"/>
                <w:kern w:val="24"/>
                <w:sz w:val="14"/>
                <w:szCs w:val="14"/>
                <w:lang w:eastAsia="es-ES"/>
              </w:rPr>
              <w:t>20,50</w:t>
            </w:r>
          </w:p>
        </w:tc>
      </w:tr>
      <w:tr w:rsidR="00B8627C" w:rsidRPr="00592AC7" w14:paraId="768A7673" w14:textId="77777777" w:rsidTr="00EA25B5">
        <w:trPr>
          <w:trHeight w:val="284"/>
          <w:jc w:val="center"/>
        </w:trPr>
        <w:tc>
          <w:tcPr>
            <w:tcW w:w="10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E7916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b/>
                <w:bCs/>
                <w:color w:val="000000"/>
                <w:kern w:val="24"/>
                <w:sz w:val="14"/>
                <w:szCs w:val="14"/>
                <w:lang w:eastAsia="es-ES"/>
              </w:rPr>
              <w:t>no ATP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807BA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color w:val="000000"/>
                <w:kern w:val="24"/>
                <w:sz w:val="14"/>
                <w:szCs w:val="14"/>
                <w:lang w:eastAsia="es-ES"/>
              </w:rPr>
              <w:t>TSAVQESSEATPK</w:t>
            </w:r>
          </w:p>
        </w:tc>
        <w:tc>
          <w:tcPr>
            <w:tcW w:w="1129" w:type="dxa"/>
            <w:tcBorders>
              <w:top w:val="single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D3008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Calibri" w:eastAsia="Calibri" w:hAnsi="Calibri" w:cs="Times New Roman"/>
                <w:color w:val="000000" w:themeColor="text1"/>
                <w:kern w:val="24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029" w:type="dxa"/>
            <w:tcBorders>
              <w:top w:val="single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864FD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Calibri" w:eastAsia="Calibri" w:hAnsi="Calibri" w:cs="Times New Roman"/>
                <w:color w:val="000000" w:themeColor="text1"/>
                <w:kern w:val="24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839" w:type="dxa"/>
            <w:tcBorders>
              <w:top w:val="single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7460D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color w:val="000000"/>
                <w:kern w:val="24"/>
                <w:sz w:val="14"/>
                <w:szCs w:val="14"/>
                <w:lang w:eastAsia="es-ES"/>
              </w:rPr>
              <w:t>0,0000</w:t>
            </w:r>
          </w:p>
        </w:tc>
        <w:tc>
          <w:tcPr>
            <w:tcW w:w="855" w:type="dxa"/>
            <w:tcBorders>
              <w:top w:val="single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76292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color w:val="000000"/>
                <w:kern w:val="24"/>
                <w:sz w:val="14"/>
                <w:szCs w:val="14"/>
                <w:lang w:eastAsia="es-ES"/>
              </w:rPr>
              <w:t>1334,64</w:t>
            </w:r>
          </w:p>
        </w:tc>
        <w:tc>
          <w:tcPr>
            <w:tcW w:w="855" w:type="dxa"/>
            <w:tcBorders>
              <w:top w:val="single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D7301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color w:val="000000"/>
                <w:kern w:val="24"/>
                <w:sz w:val="14"/>
                <w:szCs w:val="14"/>
                <w:lang w:eastAsia="es-ES"/>
              </w:rPr>
              <w:t>-0,91</w:t>
            </w:r>
          </w:p>
        </w:tc>
        <w:tc>
          <w:tcPr>
            <w:tcW w:w="674" w:type="dxa"/>
            <w:tcBorders>
              <w:top w:val="single" w:sz="8" w:space="0" w:color="000000"/>
              <w:left w:val="dotted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1997E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color w:val="000000"/>
                <w:kern w:val="24"/>
                <w:sz w:val="14"/>
                <w:szCs w:val="14"/>
                <w:lang w:eastAsia="es-ES"/>
              </w:rPr>
              <w:t>16,33</w:t>
            </w:r>
          </w:p>
        </w:tc>
      </w:tr>
      <w:tr w:rsidR="00B8627C" w:rsidRPr="00592AC7" w14:paraId="18AFB216" w14:textId="77777777" w:rsidTr="00EA25B5">
        <w:trPr>
          <w:trHeight w:val="284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EF0766" w14:textId="77777777" w:rsidR="00B8627C" w:rsidRPr="00592AC7" w:rsidRDefault="00B8627C" w:rsidP="00EA25B5">
            <w:pPr>
              <w:suppressAutoHyphens w:val="0"/>
              <w:spacing w:after="0" w:line="480" w:lineRule="auto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1548" w:type="dxa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BA401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color w:val="000000"/>
                <w:kern w:val="24"/>
                <w:sz w:val="14"/>
                <w:szCs w:val="14"/>
                <w:lang w:eastAsia="es-ES"/>
              </w:rPr>
              <w:t>AHLASSPNPFSR</w:t>
            </w:r>
          </w:p>
        </w:tc>
        <w:tc>
          <w:tcPr>
            <w:tcW w:w="1129" w:type="dxa"/>
            <w:tcBorders>
              <w:top w:val="dotted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F8CF0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Calibri" w:eastAsia="Calibri" w:hAnsi="Calibri" w:cs="Times New Roman"/>
                <w:color w:val="000000" w:themeColor="text1"/>
                <w:kern w:val="24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029" w:type="dxa"/>
            <w:tcBorders>
              <w:top w:val="dotted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E8D1C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Calibri" w:eastAsia="Calibri" w:hAnsi="Calibri" w:cs="Times New Roman"/>
                <w:color w:val="000000" w:themeColor="text1"/>
                <w:kern w:val="24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839" w:type="dxa"/>
            <w:tcBorders>
              <w:top w:val="dotted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82E4F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color w:val="000000"/>
                <w:kern w:val="24"/>
                <w:sz w:val="14"/>
                <w:szCs w:val="14"/>
                <w:lang w:eastAsia="es-ES"/>
              </w:rPr>
              <w:t>0,0000</w:t>
            </w:r>
          </w:p>
        </w:tc>
        <w:tc>
          <w:tcPr>
            <w:tcW w:w="855" w:type="dxa"/>
            <w:tcBorders>
              <w:top w:val="dotted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55CF2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color w:val="000000"/>
                <w:kern w:val="24"/>
                <w:sz w:val="14"/>
                <w:szCs w:val="14"/>
                <w:lang w:eastAsia="es-ES"/>
              </w:rPr>
              <w:t>1283,64</w:t>
            </w:r>
          </w:p>
        </w:tc>
        <w:tc>
          <w:tcPr>
            <w:tcW w:w="855" w:type="dxa"/>
            <w:tcBorders>
              <w:top w:val="dotted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B9E5D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color w:val="000000"/>
                <w:kern w:val="24"/>
                <w:sz w:val="14"/>
                <w:szCs w:val="14"/>
                <w:lang w:eastAsia="es-ES"/>
              </w:rPr>
              <w:t>-3,57</w:t>
            </w:r>
          </w:p>
        </w:tc>
        <w:tc>
          <w:tcPr>
            <w:tcW w:w="674" w:type="dxa"/>
            <w:tcBorders>
              <w:top w:val="dotted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6FF5F" w14:textId="77777777" w:rsidR="00B8627C" w:rsidRPr="00592AC7" w:rsidRDefault="00B8627C" w:rsidP="00EA25B5">
            <w:pPr>
              <w:suppressAutoHyphens w:val="0"/>
              <w:spacing w:after="0" w:line="48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 w:rsidRPr="00592AC7">
              <w:rPr>
                <w:rFonts w:ascii="Arial" w:eastAsia="Times New Roman" w:hAnsi="Arial" w:cs="Times New Roman"/>
                <w:color w:val="000000"/>
                <w:kern w:val="24"/>
                <w:sz w:val="14"/>
                <w:szCs w:val="14"/>
                <w:lang w:eastAsia="es-ES"/>
              </w:rPr>
              <w:t>20,01</w:t>
            </w:r>
          </w:p>
        </w:tc>
      </w:tr>
    </w:tbl>
    <w:p w14:paraId="274FAFEA" w14:textId="77777777" w:rsidR="00B8627C" w:rsidRDefault="00B8627C" w:rsidP="00B8627C">
      <w:pPr>
        <w:suppressAutoHyphens w:val="0"/>
        <w:autoSpaceDE w:val="0"/>
        <w:autoSpaceDN w:val="0"/>
        <w:adjustRightInd w:val="0"/>
        <w:spacing w:after="0" w:line="480" w:lineRule="auto"/>
        <w:jc w:val="both"/>
        <w:rPr>
          <w:b/>
          <w:i/>
          <w:sz w:val="20"/>
          <w:lang w:val="en-US"/>
        </w:rPr>
      </w:pPr>
    </w:p>
    <w:p w14:paraId="371C6725" w14:textId="77777777" w:rsidR="00B8627C" w:rsidRDefault="00B8627C" w:rsidP="00B8627C">
      <w:pPr>
        <w:suppressAutoHyphens w:val="0"/>
        <w:autoSpaceDE w:val="0"/>
        <w:autoSpaceDN w:val="0"/>
        <w:adjustRightInd w:val="0"/>
        <w:spacing w:after="0" w:line="480" w:lineRule="auto"/>
        <w:jc w:val="both"/>
        <w:rPr>
          <w:i/>
          <w:sz w:val="20"/>
          <w:lang w:val="en-US"/>
        </w:rPr>
      </w:pPr>
      <w:r w:rsidRPr="00E80270">
        <w:rPr>
          <w:b/>
          <w:i/>
          <w:sz w:val="20"/>
          <w:lang w:val="en-US"/>
        </w:rPr>
        <w:t>Supplementary Table 1.</w:t>
      </w:r>
      <w:r w:rsidRPr="00E80270">
        <w:rPr>
          <w:i/>
          <w:sz w:val="20"/>
          <w:lang w:val="en-US"/>
        </w:rPr>
        <w:t xml:space="preserve"> </w:t>
      </w:r>
      <w:r w:rsidRPr="00E80270">
        <w:rPr>
          <w:b/>
          <w:i/>
          <w:sz w:val="20"/>
          <w:lang w:val="en-US"/>
        </w:rPr>
        <w:t>The α4 subunit of GABA</w:t>
      </w:r>
      <w:r w:rsidRPr="00E80270">
        <w:rPr>
          <w:b/>
          <w:i/>
          <w:sz w:val="20"/>
          <w:vertAlign w:val="subscript"/>
          <w:lang w:val="en-US"/>
        </w:rPr>
        <w:t>A</w:t>
      </w:r>
      <w:r w:rsidRPr="00E80270">
        <w:rPr>
          <w:b/>
          <w:i/>
          <w:sz w:val="20"/>
          <w:lang w:val="en-US"/>
        </w:rPr>
        <w:t xml:space="preserve"> receptors is phosphorylated at T423 and S431 by Ccnd1·Cdk4.</w:t>
      </w:r>
      <w:r w:rsidRPr="00E80270">
        <w:rPr>
          <w:i/>
          <w:sz w:val="20"/>
          <w:lang w:val="en-US"/>
        </w:rPr>
        <w:t xml:space="preserve"> The GST-Ct-α4 wild type was used in an in vitro kinase assay with Ccnd1·Cdk4, in the presence or absence of ATP</w:t>
      </w:r>
      <w:r>
        <w:rPr>
          <w:i/>
          <w:sz w:val="20"/>
          <w:lang w:val="en-US"/>
        </w:rPr>
        <w:t xml:space="preserve"> (no ATP)</w:t>
      </w:r>
      <w:r w:rsidRPr="00E80270">
        <w:rPr>
          <w:i/>
          <w:sz w:val="20"/>
          <w:lang w:val="en-US"/>
        </w:rPr>
        <w:t>, and the Chymotryptic peptide molecular masses were analyzed by liquid chromatography-mass spectrometry. MH+: proton adduct;</w:t>
      </w:r>
      <w:r w:rsidRPr="00E80270">
        <w:rPr>
          <w:sz w:val="20"/>
          <w:szCs w:val="20"/>
          <w:lang w:val="en-US"/>
        </w:rPr>
        <w:t xml:space="preserve"> </w:t>
      </w:r>
      <w:r w:rsidRPr="00E80270">
        <w:rPr>
          <w:i/>
          <w:sz w:val="20"/>
          <w:lang w:val="en-US"/>
        </w:rPr>
        <w:t>ΔM: mass difference; RT: retention time; q-value: adjusted p-value</w:t>
      </w:r>
      <w:r w:rsidRPr="00E80270">
        <w:rPr>
          <w:sz w:val="20"/>
          <w:szCs w:val="20"/>
          <w:lang w:val="en-US"/>
        </w:rPr>
        <w:t xml:space="preserve">. </w:t>
      </w:r>
      <w:r w:rsidRPr="00E80270">
        <w:rPr>
          <w:i/>
          <w:sz w:val="20"/>
          <w:lang w:val="en-US"/>
        </w:rPr>
        <w:t>Both T423 and S431 of α4 subunit (highlighted in red) were found to be phosphorylated by Ccnd1·Cdk4.</w:t>
      </w:r>
      <w:r w:rsidRPr="00F97FA6">
        <w:rPr>
          <w:i/>
          <w:sz w:val="20"/>
          <w:lang w:val="en-US"/>
        </w:rPr>
        <w:t xml:space="preserve"> </w:t>
      </w:r>
    </w:p>
    <w:p w14:paraId="57ADC6B0" w14:textId="77777777" w:rsidR="00B8627C" w:rsidRDefault="00B8627C" w:rsidP="00B8627C">
      <w:pPr>
        <w:suppressAutoHyphens w:val="0"/>
        <w:spacing w:after="0" w:line="480" w:lineRule="auto"/>
        <w:rPr>
          <w:i/>
          <w:sz w:val="20"/>
          <w:lang w:val="en-US"/>
        </w:rPr>
      </w:pPr>
    </w:p>
    <w:p w14:paraId="40AC3C62" w14:textId="77777777" w:rsidR="00B8627C" w:rsidRDefault="00B8627C" w:rsidP="00B8627C">
      <w:pPr>
        <w:suppressAutoHyphens w:val="0"/>
        <w:spacing w:after="0" w:line="480" w:lineRule="auto"/>
        <w:rPr>
          <w:sz w:val="20"/>
          <w:lang w:val="en-US"/>
        </w:rPr>
      </w:pPr>
      <w:r w:rsidRPr="00BA3AA3">
        <w:rPr>
          <w:noProof/>
          <w:sz w:val="20"/>
          <w:lang w:eastAsia="es-ES"/>
        </w:rPr>
        <w:drawing>
          <wp:inline distT="0" distB="0" distL="0" distR="0" wp14:anchorId="000ECB83" wp14:editId="52A20527">
            <wp:extent cx="3510951" cy="2202306"/>
            <wp:effectExtent l="0" t="0" r="0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825" cy="2210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54B67" w14:textId="77777777" w:rsidR="00B8627C" w:rsidRPr="00BA3AA3" w:rsidRDefault="00B8627C" w:rsidP="00B8627C">
      <w:pPr>
        <w:suppressAutoHyphens w:val="0"/>
        <w:spacing w:after="0" w:line="480" w:lineRule="auto"/>
        <w:jc w:val="both"/>
        <w:rPr>
          <w:i/>
          <w:sz w:val="20"/>
          <w:lang w:val="en-US"/>
        </w:rPr>
      </w:pPr>
      <w:r w:rsidRPr="001C278C">
        <w:rPr>
          <w:b/>
          <w:i/>
          <w:color w:val="FF0000"/>
          <w:sz w:val="20"/>
          <w:lang w:val="en-US"/>
        </w:rPr>
        <w:t>Supplementary Figure 1.</w:t>
      </w:r>
      <w:r w:rsidRPr="001C278C">
        <w:rPr>
          <w:i/>
          <w:color w:val="FF0000"/>
          <w:sz w:val="20"/>
          <w:lang w:val="en-US"/>
        </w:rPr>
        <w:t xml:space="preserve"> </w:t>
      </w:r>
      <w:r w:rsidRPr="001C278C">
        <w:rPr>
          <w:b/>
          <w:i/>
          <w:color w:val="FF0000"/>
          <w:sz w:val="20"/>
          <w:lang w:val="en-US"/>
        </w:rPr>
        <w:t>Ccnd1 interacts with the α4 subunit of GABA</w:t>
      </w:r>
      <w:r w:rsidRPr="001C278C">
        <w:rPr>
          <w:b/>
          <w:i/>
          <w:color w:val="FF0000"/>
          <w:sz w:val="20"/>
          <w:vertAlign w:val="subscript"/>
          <w:lang w:val="en-US"/>
        </w:rPr>
        <w:t>A</w:t>
      </w:r>
      <w:r w:rsidRPr="001C278C">
        <w:rPr>
          <w:b/>
          <w:i/>
          <w:color w:val="FF0000"/>
          <w:sz w:val="20"/>
          <w:lang w:val="en-US"/>
        </w:rPr>
        <w:t xml:space="preserve"> receptors.</w:t>
      </w:r>
      <w:r w:rsidRPr="001C278C">
        <w:rPr>
          <w:i/>
          <w:color w:val="FF0000"/>
          <w:sz w:val="20"/>
          <w:lang w:val="en-US"/>
        </w:rPr>
        <w:t xml:space="preserve"> HEK-293T cells were transfected with the C terminus of α4 subunit (354-552aa, tagged with HA: HA-Ct-α4) and Ccnd1 (tagged </w:t>
      </w:r>
      <w:r w:rsidRPr="001C278C">
        <w:rPr>
          <w:i/>
          <w:color w:val="FF0000"/>
          <w:sz w:val="20"/>
          <w:lang w:val="en-US"/>
        </w:rPr>
        <w:lastRenderedPageBreak/>
        <w:t>with Flag: Flag-Ccnd1). At 24 hours after transfection, Flag-Ccnd1 was precipitated using αFlag agarose beads (Sigma). Input (IN) and immunoprecipitation (IP) samples were analyzed by western blot using anti-HA and anti-Flag antibodies, to detect co-IP of the C terminus of α4 with Ccnd1.</w:t>
      </w:r>
    </w:p>
    <w:p w14:paraId="3C7A730E" w14:textId="77777777" w:rsidR="00B8627C" w:rsidRDefault="00B8627C" w:rsidP="00B8627C">
      <w:pPr>
        <w:suppressAutoHyphens w:val="0"/>
        <w:spacing w:after="0" w:line="480" w:lineRule="auto"/>
        <w:rPr>
          <w:sz w:val="20"/>
          <w:lang w:val="en-US"/>
        </w:rPr>
      </w:pPr>
    </w:p>
    <w:p w14:paraId="409CA23F" w14:textId="77777777" w:rsidR="00B8627C" w:rsidRDefault="00B8627C" w:rsidP="00B8627C">
      <w:pPr>
        <w:suppressAutoHyphens w:val="0"/>
        <w:spacing w:after="0" w:line="480" w:lineRule="auto"/>
        <w:jc w:val="center"/>
        <w:rPr>
          <w:sz w:val="20"/>
          <w:lang w:val="en-US"/>
        </w:rPr>
      </w:pPr>
      <w:r w:rsidRPr="001C278C">
        <w:rPr>
          <w:noProof/>
          <w:lang w:eastAsia="es-ES"/>
        </w:rPr>
        <w:drawing>
          <wp:inline distT="0" distB="0" distL="0" distR="0" wp14:anchorId="2CAC9B96" wp14:editId="74D9989D">
            <wp:extent cx="6052442" cy="2432649"/>
            <wp:effectExtent l="0" t="0" r="5715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64134" cy="2437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933A3" w14:textId="77777777" w:rsidR="00B8627C" w:rsidRPr="009568F7" w:rsidRDefault="00B8627C" w:rsidP="00B8627C">
      <w:pPr>
        <w:suppressAutoHyphens w:val="0"/>
        <w:spacing w:after="0" w:line="480" w:lineRule="auto"/>
        <w:jc w:val="both"/>
        <w:rPr>
          <w:i/>
          <w:sz w:val="20"/>
          <w:lang w:val="en-US"/>
        </w:rPr>
      </w:pPr>
      <w:r w:rsidRPr="00BA3AA3">
        <w:rPr>
          <w:b/>
          <w:i/>
          <w:color w:val="FF0000"/>
          <w:sz w:val="20"/>
          <w:lang w:val="en-US"/>
        </w:rPr>
        <w:t>Supplementary Figure 2. Expression of recombinant α4 in culture hippocampal slices does not change non-GABA</w:t>
      </w:r>
      <w:r w:rsidRPr="00BA3AA3">
        <w:rPr>
          <w:b/>
          <w:i/>
          <w:color w:val="FF0000"/>
          <w:sz w:val="20"/>
          <w:vertAlign w:val="subscript"/>
          <w:lang w:val="en-US"/>
        </w:rPr>
        <w:t>A</w:t>
      </w:r>
      <w:r w:rsidRPr="00BA3AA3">
        <w:rPr>
          <w:b/>
          <w:i/>
          <w:color w:val="FF0000"/>
          <w:sz w:val="20"/>
          <w:lang w:val="en-US"/>
        </w:rPr>
        <w:t xml:space="preserve"> receptor currents and alters mIPSC kinetics.</w:t>
      </w:r>
      <w:r w:rsidRPr="00BA3AA3">
        <w:rPr>
          <w:i/>
          <w:color w:val="FF0000"/>
          <w:sz w:val="20"/>
          <w:lang w:val="en-US"/>
        </w:rPr>
        <w:t xml:space="preserve"> A) Quantification of absolute values for holding current after picrotoxin addition, from neurons plotted in Fig. 6, A and B. B) Scaled average mIPSCs from neurons plotted in Fig. 6 C and D, to compare the kinetics of the responses for each condition. For all panels, wild-type α4 is represented with black symbols, T423A/S431A (AA) α4 with red symbols, T423E/S431E (EE) α4 with blue symbols and untransfected neurons with grey symbols</w:t>
      </w:r>
      <w:r w:rsidRPr="00BA3AA3">
        <w:rPr>
          <w:i/>
          <w:sz w:val="20"/>
          <w:lang w:val="en-US"/>
        </w:rPr>
        <w:t>.</w:t>
      </w:r>
    </w:p>
    <w:p w14:paraId="70B55808" w14:textId="77777777" w:rsidR="003F1652" w:rsidRDefault="003F1652"/>
    <w:sectPr w:rsidR="003F1652" w:rsidSect="001C17B7">
      <w:footerReference w:type="default" r:id="rId6"/>
      <w:pgSz w:w="11906" w:h="16838"/>
      <w:pgMar w:top="1418" w:right="1701" w:bottom="1418" w:left="1701" w:header="709" w:footer="709" w:gutter="0"/>
      <w:lnNumType w:countBy="2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38784223"/>
      <w:docPartObj>
        <w:docPartGallery w:val="Page Numbers (Bottom of Page)"/>
        <w:docPartUnique/>
      </w:docPartObj>
    </w:sdtPr>
    <w:sdtEndPr/>
    <w:sdtContent>
      <w:p w14:paraId="5AC0B80B" w14:textId="77777777" w:rsidR="00526B43" w:rsidRDefault="00B8627C">
        <w:pPr>
          <w:pStyle w:val="Footer"/>
          <w:jc w:val="center"/>
        </w:pPr>
        <w:r>
          <w:fldChar w:fldCharType="begin"/>
        </w:r>
        <w:r>
          <w:instrText>PAGE   \* MERGEFOR</w:instrText>
        </w:r>
        <w:r>
          <w:instrText>MAT</w:instrText>
        </w:r>
        <w:r>
          <w:fldChar w:fldCharType="separate"/>
        </w:r>
        <w:r>
          <w:rPr>
            <w:noProof/>
          </w:rPr>
          <w:t>36</w:t>
        </w:r>
        <w:r>
          <w:fldChar w:fldCharType="end"/>
        </w:r>
      </w:p>
    </w:sdtContent>
  </w:sdt>
  <w:p w14:paraId="2E616553" w14:textId="77777777" w:rsidR="00526B43" w:rsidRDefault="00B8627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7C"/>
    <w:rsid w:val="003F1652"/>
    <w:rsid w:val="00B8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DFBFE"/>
  <w15:chartTrackingRefBased/>
  <w15:docId w15:val="{4BA8447C-F265-4E42-AEEF-CB898618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27C"/>
    <w:pPr>
      <w:suppressAutoHyphens/>
      <w:spacing w:after="200" w:line="276" w:lineRule="auto"/>
    </w:pPr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862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27C"/>
    <w:rPr>
      <w:lang w:val="es-ES"/>
    </w:rPr>
  </w:style>
  <w:style w:type="character" w:styleId="LineNumber">
    <w:name w:val="line number"/>
    <w:basedOn w:val="DefaultParagraphFont"/>
    <w:uiPriority w:val="99"/>
    <w:semiHidden/>
    <w:unhideWhenUsed/>
    <w:rsid w:val="00B86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1858</Characters>
  <Application>Microsoft Office Word</Application>
  <DocSecurity>0</DocSecurity>
  <Lines>15</Lines>
  <Paragraphs>4</Paragraphs>
  <ScaleCrop>false</ScaleCrop>
  <Company>Springer Nature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Amruta Dange</dc:creator>
  <cp:keywords/>
  <dc:description/>
  <cp:lastModifiedBy>Amruta Dange</cp:lastModifiedBy>
  <cp:revision>1</cp:revision>
  <dcterms:created xsi:type="dcterms:W3CDTF">2023-06-23T09:32:00Z</dcterms:created>
  <dcterms:modified xsi:type="dcterms:W3CDTF">2023-06-23T09:33:00Z</dcterms:modified>
</cp:coreProperties>
</file>