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64357" w:rsidRDefault="00564357" w:rsidP="00564357">
      <w:r w:rsidRPr="00564357">
        <w:t>STK3 kinase activation inhibits tumor proliferation through FOXO1-TP53INP1/P21 pathway in esophageal squamous cell carcinoma</w:t>
      </w:r>
    </w:p>
    <w:p w:rsidR="00E1152A" w:rsidRPr="00564357" w:rsidRDefault="00E1152A" w:rsidP="00564357"/>
    <w:p w:rsidR="00564357" w:rsidRPr="00564357" w:rsidRDefault="00564357" w:rsidP="00564357">
      <w:pPr>
        <w:jc w:val="both"/>
        <w:rPr>
          <w:sz w:val="20"/>
          <w:szCs w:val="20"/>
          <w:vertAlign w:val="superscript"/>
        </w:rPr>
      </w:pPr>
      <w:proofErr w:type="spellStart"/>
      <w:r w:rsidRPr="00564357">
        <w:rPr>
          <w:sz w:val="20"/>
          <w:szCs w:val="20"/>
        </w:rPr>
        <w:t>Ziying</w:t>
      </w:r>
      <w:proofErr w:type="spellEnd"/>
      <w:r w:rsidRPr="00564357">
        <w:rPr>
          <w:sz w:val="20"/>
          <w:szCs w:val="20"/>
        </w:rPr>
        <w:t xml:space="preserve"> Zhao </w:t>
      </w:r>
      <w:r w:rsidRPr="00564357">
        <w:rPr>
          <w:sz w:val="20"/>
          <w:szCs w:val="20"/>
          <w:vertAlign w:val="superscript"/>
        </w:rPr>
        <w:t>1</w:t>
      </w:r>
      <w:r w:rsidRPr="00564357">
        <w:rPr>
          <w:sz w:val="20"/>
          <w:szCs w:val="20"/>
        </w:rPr>
        <w:t xml:space="preserve"> </w:t>
      </w:r>
      <w:r>
        <w:rPr>
          <w:sz w:val="20"/>
          <w:szCs w:val="20"/>
        </w:rPr>
        <w:t>Y</w:t>
      </w:r>
      <w:r w:rsidRPr="00564357">
        <w:rPr>
          <w:sz w:val="20"/>
          <w:szCs w:val="20"/>
        </w:rPr>
        <w:t xml:space="preserve">uan Chu </w:t>
      </w:r>
      <w:r w:rsidRPr="00564357">
        <w:rPr>
          <w:sz w:val="20"/>
          <w:szCs w:val="20"/>
          <w:vertAlign w:val="superscript"/>
        </w:rPr>
        <w:t xml:space="preserve">1. </w:t>
      </w:r>
      <w:proofErr w:type="spellStart"/>
      <w:r w:rsidRPr="00564357">
        <w:rPr>
          <w:sz w:val="20"/>
          <w:szCs w:val="20"/>
        </w:rPr>
        <w:t>Anqi</w:t>
      </w:r>
      <w:proofErr w:type="spellEnd"/>
      <w:r w:rsidRPr="00564357">
        <w:rPr>
          <w:sz w:val="20"/>
          <w:szCs w:val="20"/>
        </w:rPr>
        <w:t xml:space="preserve"> Feng </w:t>
      </w:r>
      <w:r w:rsidRPr="00564357">
        <w:rPr>
          <w:sz w:val="20"/>
          <w:szCs w:val="20"/>
          <w:vertAlign w:val="superscript"/>
        </w:rPr>
        <w:t xml:space="preserve">1 </w:t>
      </w:r>
      <w:r w:rsidRPr="00564357">
        <w:rPr>
          <w:sz w:val="20"/>
          <w:szCs w:val="20"/>
        </w:rPr>
        <w:t xml:space="preserve"> </w:t>
      </w:r>
      <w:r>
        <w:rPr>
          <w:sz w:val="20"/>
          <w:szCs w:val="20"/>
        </w:rPr>
        <w:t xml:space="preserve"> </w:t>
      </w:r>
      <w:r w:rsidRPr="00564357">
        <w:rPr>
          <w:sz w:val="20"/>
          <w:szCs w:val="20"/>
        </w:rPr>
        <w:t xml:space="preserve">Hao Wu </w:t>
      </w:r>
      <w:proofErr w:type="gramStart"/>
      <w:r w:rsidRPr="00564357">
        <w:rPr>
          <w:sz w:val="20"/>
          <w:szCs w:val="20"/>
          <w:vertAlign w:val="superscript"/>
        </w:rPr>
        <w:t xml:space="preserve">1 </w:t>
      </w:r>
      <w:r w:rsidR="00064175">
        <w:rPr>
          <w:sz w:val="20"/>
          <w:szCs w:val="20"/>
          <w:vertAlign w:val="superscript"/>
        </w:rPr>
        <w:t xml:space="preserve"> </w:t>
      </w:r>
      <w:proofErr w:type="spellStart"/>
      <w:r w:rsidRPr="00564357">
        <w:rPr>
          <w:sz w:val="20"/>
          <w:szCs w:val="20"/>
        </w:rPr>
        <w:t>Zhaoxing</w:t>
      </w:r>
      <w:proofErr w:type="spellEnd"/>
      <w:proofErr w:type="gramEnd"/>
      <w:r w:rsidRPr="00564357">
        <w:rPr>
          <w:sz w:val="20"/>
          <w:szCs w:val="20"/>
        </w:rPr>
        <w:t xml:space="preserve"> Li </w:t>
      </w:r>
      <w:r w:rsidRPr="00564357">
        <w:rPr>
          <w:sz w:val="20"/>
          <w:szCs w:val="20"/>
          <w:vertAlign w:val="superscript"/>
        </w:rPr>
        <w:t>1</w:t>
      </w:r>
      <w:r w:rsidR="00064175">
        <w:rPr>
          <w:sz w:val="20"/>
          <w:szCs w:val="20"/>
          <w:vertAlign w:val="superscript"/>
        </w:rPr>
        <w:t xml:space="preserve"> </w:t>
      </w:r>
      <w:r w:rsidRPr="00564357">
        <w:rPr>
          <w:sz w:val="20"/>
          <w:szCs w:val="20"/>
          <w:vertAlign w:val="superscript"/>
        </w:rPr>
        <w:t xml:space="preserve"> </w:t>
      </w:r>
      <w:proofErr w:type="spellStart"/>
      <w:r w:rsidRPr="00564357">
        <w:rPr>
          <w:sz w:val="20"/>
          <w:szCs w:val="20"/>
        </w:rPr>
        <w:t>Mingchuang</w:t>
      </w:r>
      <w:proofErr w:type="spellEnd"/>
      <w:r w:rsidRPr="00564357">
        <w:rPr>
          <w:sz w:val="20"/>
          <w:szCs w:val="20"/>
        </w:rPr>
        <w:t xml:space="preserve"> Sun </w:t>
      </w:r>
      <w:r w:rsidRPr="00564357">
        <w:rPr>
          <w:sz w:val="20"/>
          <w:szCs w:val="20"/>
          <w:vertAlign w:val="superscript"/>
        </w:rPr>
        <w:t>1</w:t>
      </w:r>
      <w:r w:rsidR="00064175">
        <w:rPr>
          <w:sz w:val="20"/>
          <w:szCs w:val="20"/>
          <w:vertAlign w:val="superscript"/>
        </w:rPr>
        <w:t xml:space="preserve">  </w:t>
      </w:r>
      <w:r w:rsidRPr="00564357">
        <w:rPr>
          <w:sz w:val="20"/>
          <w:szCs w:val="20"/>
          <w:vertAlign w:val="superscript"/>
        </w:rPr>
        <w:t xml:space="preserve"> </w:t>
      </w:r>
      <w:r w:rsidRPr="00564357">
        <w:rPr>
          <w:sz w:val="20"/>
          <w:szCs w:val="20"/>
        </w:rPr>
        <w:t xml:space="preserve">Li Zhang </w:t>
      </w:r>
      <w:r w:rsidRPr="00564357">
        <w:rPr>
          <w:sz w:val="20"/>
          <w:szCs w:val="20"/>
          <w:vertAlign w:val="superscript"/>
        </w:rPr>
        <w:t>1</w:t>
      </w:r>
    </w:p>
    <w:p w:rsidR="00564357" w:rsidRPr="00564357" w:rsidRDefault="00564357" w:rsidP="00564357">
      <w:pPr>
        <w:jc w:val="both"/>
        <w:rPr>
          <w:sz w:val="20"/>
          <w:szCs w:val="20"/>
        </w:rPr>
      </w:pPr>
      <w:r w:rsidRPr="00564357">
        <w:rPr>
          <w:sz w:val="20"/>
          <w:szCs w:val="20"/>
        </w:rPr>
        <w:t xml:space="preserve">Tao Chen* </w:t>
      </w:r>
      <w:proofErr w:type="gramStart"/>
      <w:r w:rsidRPr="00564357">
        <w:rPr>
          <w:sz w:val="20"/>
          <w:szCs w:val="20"/>
          <w:vertAlign w:val="superscript"/>
        </w:rPr>
        <w:t>1</w:t>
      </w:r>
      <w:r w:rsidR="00064175">
        <w:rPr>
          <w:sz w:val="20"/>
          <w:szCs w:val="20"/>
          <w:vertAlign w:val="superscript"/>
        </w:rPr>
        <w:t xml:space="preserve"> </w:t>
      </w:r>
      <w:r w:rsidR="00064175">
        <w:rPr>
          <w:sz w:val="20"/>
          <w:szCs w:val="20"/>
        </w:rPr>
        <w:t xml:space="preserve"> </w:t>
      </w:r>
      <w:proofErr w:type="spellStart"/>
      <w:r w:rsidRPr="00564357">
        <w:rPr>
          <w:sz w:val="20"/>
          <w:szCs w:val="20"/>
        </w:rPr>
        <w:t>Meidong</w:t>
      </w:r>
      <w:proofErr w:type="spellEnd"/>
      <w:proofErr w:type="gramEnd"/>
      <w:r w:rsidRPr="00564357">
        <w:rPr>
          <w:sz w:val="20"/>
          <w:szCs w:val="20"/>
        </w:rPr>
        <w:t xml:space="preserve"> Xu* </w:t>
      </w:r>
      <w:r w:rsidRPr="00564357">
        <w:rPr>
          <w:sz w:val="20"/>
          <w:szCs w:val="20"/>
          <w:vertAlign w:val="superscript"/>
        </w:rPr>
        <w:t>1</w:t>
      </w:r>
    </w:p>
    <w:p w:rsidR="00564357" w:rsidRPr="00564357" w:rsidRDefault="00564357" w:rsidP="00564357">
      <w:pPr>
        <w:pStyle w:val="HTMLPreformatted"/>
        <w:jc w:val="both"/>
        <w:rPr>
          <w:rFonts w:ascii="Times New Roman" w:eastAsia="Times New Roman" w:hAnsi="Times New Roman" w:cs="Times New Roman"/>
          <w:color w:val="000000"/>
          <w:sz w:val="20"/>
          <w:szCs w:val="20"/>
        </w:rPr>
      </w:pPr>
    </w:p>
    <w:p w:rsidR="00564357" w:rsidRPr="00564357" w:rsidRDefault="00564357" w:rsidP="00564357">
      <w:pPr>
        <w:jc w:val="both"/>
        <w:rPr>
          <w:sz w:val="20"/>
          <w:szCs w:val="20"/>
        </w:rPr>
      </w:pPr>
      <w:r w:rsidRPr="00564357">
        <w:rPr>
          <w:b/>
          <w:bCs/>
          <w:sz w:val="20"/>
          <w:szCs w:val="20"/>
        </w:rPr>
        <w:t>Affiliation:</w:t>
      </w:r>
      <w:r w:rsidRPr="00564357">
        <w:rPr>
          <w:sz w:val="20"/>
          <w:szCs w:val="20"/>
        </w:rPr>
        <w:t xml:space="preserve"> </w:t>
      </w:r>
      <w:r w:rsidRPr="00564357">
        <w:rPr>
          <w:sz w:val="20"/>
          <w:szCs w:val="20"/>
          <w:vertAlign w:val="superscript"/>
        </w:rPr>
        <w:t xml:space="preserve">1 </w:t>
      </w:r>
      <w:r w:rsidRPr="00564357">
        <w:rPr>
          <w:sz w:val="20"/>
          <w:szCs w:val="20"/>
        </w:rPr>
        <w:t>Endoscopy Center, Department of Gastroenterology, Shanghai East Hospital, School of Medicine, Tongji University, Shanghai, 200120, China.</w:t>
      </w:r>
    </w:p>
    <w:p w:rsidR="00564357" w:rsidRPr="00564357" w:rsidRDefault="00564357" w:rsidP="00564357">
      <w:pPr>
        <w:pStyle w:val="HTMLPreformatted"/>
        <w:jc w:val="both"/>
        <w:rPr>
          <w:rFonts w:ascii="Times New Roman" w:eastAsia="Times New Roman" w:hAnsi="Times New Roman" w:cs="Times New Roman"/>
          <w:color w:val="000000"/>
          <w:sz w:val="20"/>
          <w:szCs w:val="20"/>
        </w:rPr>
      </w:pPr>
    </w:p>
    <w:p w:rsidR="00564357" w:rsidRPr="00564357" w:rsidRDefault="00564357" w:rsidP="00564357">
      <w:pPr>
        <w:pStyle w:val="HTMLPreformatted"/>
        <w:jc w:val="both"/>
        <w:rPr>
          <w:rFonts w:ascii="Times New Roman" w:eastAsia="Times New Roman" w:hAnsi="Times New Roman" w:cs="Times New Roman"/>
          <w:color w:val="000000"/>
          <w:sz w:val="20"/>
          <w:szCs w:val="20"/>
        </w:rPr>
      </w:pPr>
      <w:r w:rsidRPr="00564357">
        <w:rPr>
          <w:rFonts w:ascii="Times New Roman" w:eastAsia="Times New Roman" w:hAnsi="Times New Roman" w:cs="Times New Roman"/>
          <w:color w:val="000000"/>
          <w:sz w:val="20"/>
          <w:szCs w:val="20"/>
        </w:rPr>
        <w:t>E-mail for Corresponding authors:</w:t>
      </w:r>
    </w:p>
    <w:p w:rsidR="00564357" w:rsidRPr="00564357" w:rsidRDefault="00564357" w:rsidP="00564357">
      <w:pPr>
        <w:jc w:val="both"/>
        <w:rPr>
          <w:rFonts w:eastAsiaTheme="minorEastAsia"/>
          <w:color w:val="FF0000"/>
          <w:sz w:val="20"/>
          <w:szCs w:val="20"/>
        </w:rPr>
      </w:pPr>
      <w:r w:rsidRPr="00564357">
        <w:rPr>
          <w:color w:val="000000" w:themeColor="text1"/>
          <w:sz w:val="20"/>
          <w:szCs w:val="20"/>
        </w:rPr>
        <w:t xml:space="preserve">Tao Chen*: </w:t>
      </w:r>
      <w:hyperlink r:id="rId4" w:history="1">
        <w:r w:rsidRPr="00564357">
          <w:rPr>
            <w:rStyle w:val="Hyperlink"/>
            <w:color w:val="1800FF"/>
            <w:sz w:val="20"/>
            <w:szCs w:val="20"/>
          </w:rPr>
          <w:t>chentao@tongji.edu.cn</w:t>
        </w:r>
      </w:hyperlink>
    </w:p>
    <w:p w:rsidR="00564357" w:rsidRDefault="00564357" w:rsidP="00564357">
      <w:pPr>
        <w:jc w:val="both"/>
        <w:rPr>
          <w:rStyle w:val="Hyperlink"/>
          <w:sz w:val="20"/>
          <w:szCs w:val="20"/>
        </w:rPr>
      </w:pPr>
      <w:proofErr w:type="spellStart"/>
      <w:r w:rsidRPr="00564357">
        <w:rPr>
          <w:sz w:val="20"/>
          <w:szCs w:val="20"/>
        </w:rPr>
        <w:t>Meidong</w:t>
      </w:r>
      <w:proofErr w:type="spellEnd"/>
      <w:r w:rsidRPr="00564357">
        <w:rPr>
          <w:sz w:val="20"/>
          <w:szCs w:val="20"/>
        </w:rPr>
        <w:t xml:space="preserve"> Xu</w:t>
      </w:r>
      <w:proofErr w:type="gramStart"/>
      <w:r w:rsidRPr="00564357">
        <w:rPr>
          <w:sz w:val="20"/>
          <w:szCs w:val="20"/>
        </w:rPr>
        <w:t>* :</w:t>
      </w:r>
      <w:proofErr w:type="gramEnd"/>
      <w:r w:rsidRPr="00564357">
        <w:rPr>
          <w:sz w:val="20"/>
          <w:szCs w:val="20"/>
        </w:rPr>
        <w:t xml:space="preserve"> </w:t>
      </w:r>
      <w:hyperlink r:id="rId5" w:history="1">
        <w:r w:rsidRPr="00564357">
          <w:rPr>
            <w:rStyle w:val="Hyperlink"/>
            <w:sz w:val="20"/>
            <w:szCs w:val="20"/>
          </w:rPr>
          <w:t>1800512@tongji.edu.cn</w:t>
        </w:r>
      </w:hyperlink>
    </w:p>
    <w:p w:rsidR="00564357" w:rsidRPr="00564357" w:rsidRDefault="00564357" w:rsidP="00564357">
      <w:pPr>
        <w:jc w:val="both"/>
        <w:rPr>
          <w:rStyle w:val="Hyperlink"/>
          <w:sz w:val="20"/>
          <w:szCs w:val="20"/>
        </w:rPr>
      </w:pPr>
    </w:p>
    <w:p w:rsidR="00564357" w:rsidRPr="00564357" w:rsidRDefault="00564357" w:rsidP="00564357">
      <w:pPr>
        <w:pStyle w:val="HTMLPreformatted"/>
        <w:rPr>
          <w:rFonts w:ascii="Times New Roman" w:hAnsi="Times New Roman" w:cs="Times New Roman"/>
        </w:rPr>
      </w:pPr>
      <w:r w:rsidRPr="00564357">
        <w:rPr>
          <w:rFonts w:ascii="Times New Roman" w:hAnsi="Times New Roman" w:cs="Times New Roman"/>
        </w:rPr>
        <w:t xml:space="preserve">SUPPLEMENTARY MATERIALS </w:t>
      </w:r>
    </w:p>
    <w:p w:rsidR="00564357" w:rsidRPr="00564357" w:rsidRDefault="00564357" w:rsidP="00564357">
      <w:pPr>
        <w:pStyle w:val="HTMLPreformatted"/>
        <w:rPr>
          <w:rFonts w:ascii="Times New Roman" w:hAnsi="Times New Roman" w:cs="Times New Roman"/>
          <w:sz w:val="20"/>
          <w:szCs w:val="20"/>
        </w:rPr>
      </w:pPr>
      <w:r w:rsidRPr="00564357">
        <w:rPr>
          <w:rFonts w:ascii="Times New Roman" w:hAnsi="Times New Roman" w:cs="Times New Roman"/>
          <w:sz w:val="20"/>
          <w:szCs w:val="20"/>
        </w:rPr>
        <w:t>Figure S1</w:t>
      </w:r>
      <w:r w:rsidRPr="00564357">
        <w:rPr>
          <w:rFonts w:ascii="Times New Roman" w:hAnsi="Times New Roman" w:cs="Times New Roman"/>
          <w:color w:val="000000" w:themeColor="text1"/>
          <w:sz w:val="20"/>
          <w:szCs w:val="20"/>
        </w:rPr>
        <w:t xml:space="preserve"> Supplementary statistical results.</w:t>
      </w:r>
    </w:p>
    <w:p w:rsidR="00564357" w:rsidRPr="00564357" w:rsidRDefault="00564357" w:rsidP="00564357">
      <w:pPr>
        <w:pStyle w:val="HTMLPreformatted"/>
        <w:rPr>
          <w:rFonts w:ascii="Times New Roman" w:hAnsi="Times New Roman" w:cs="Times New Roman"/>
          <w:sz w:val="20"/>
          <w:szCs w:val="20"/>
        </w:rPr>
      </w:pPr>
      <w:r w:rsidRPr="00564357">
        <w:rPr>
          <w:rFonts w:ascii="Times New Roman" w:hAnsi="Times New Roman" w:cs="Times New Roman"/>
          <w:sz w:val="20"/>
          <w:szCs w:val="20"/>
        </w:rPr>
        <w:t xml:space="preserve">Figure S2 </w:t>
      </w:r>
      <w:r w:rsidRPr="00564357">
        <w:rPr>
          <w:rFonts w:ascii="Times New Roman" w:hAnsi="Times New Roman" w:cs="Times New Roman"/>
          <w:color w:val="000000" w:themeColor="text1"/>
          <w:sz w:val="20"/>
          <w:szCs w:val="20"/>
        </w:rPr>
        <w:t>Moderate concentration of H</w:t>
      </w:r>
      <w:r w:rsidRPr="00564357">
        <w:rPr>
          <w:rFonts w:ascii="Times New Roman" w:hAnsi="Times New Roman" w:cs="Times New Roman"/>
          <w:color w:val="000000" w:themeColor="text1"/>
          <w:sz w:val="20"/>
          <w:szCs w:val="20"/>
          <w:vertAlign w:val="subscript"/>
        </w:rPr>
        <w:t>2</w:t>
      </w:r>
      <w:r w:rsidRPr="00564357">
        <w:rPr>
          <w:rFonts w:ascii="Times New Roman" w:hAnsi="Times New Roman" w:cs="Times New Roman"/>
          <w:color w:val="000000" w:themeColor="text1"/>
          <w:sz w:val="20"/>
          <w:szCs w:val="20"/>
        </w:rPr>
        <w:t>O</w:t>
      </w:r>
      <w:r w:rsidRPr="00564357">
        <w:rPr>
          <w:rFonts w:ascii="Times New Roman" w:hAnsi="Times New Roman" w:cs="Times New Roman"/>
          <w:color w:val="000000" w:themeColor="text1"/>
          <w:sz w:val="20"/>
          <w:szCs w:val="20"/>
          <w:vertAlign w:val="subscript"/>
        </w:rPr>
        <w:t>2</w:t>
      </w:r>
      <w:r w:rsidRPr="00564357">
        <w:rPr>
          <w:rFonts w:ascii="Times New Roman" w:hAnsi="Times New Roman" w:cs="Times New Roman"/>
          <w:color w:val="000000" w:themeColor="text1"/>
          <w:sz w:val="20"/>
          <w:szCs w:val="20"/>
        </w:rPr>
        <w:t xml:space="preserve"> induces the upregulation of cellular ROS level.</w:t>
      </w:r>
    </w:p>
    <w:p w:rsidR="00564357" w:rsidRPr="003B6393" w:rsidRDefault="00564357" w:rsidP="00564357">
      <w:pPr>
        <w:pStyle w:val="HTMLPreformatted"/>
        <w:rPr>
          <w:rFonts w:ascii="Times New Roman" w:hAnsi="Times New Roman" w:cs="Times New Roman"/>
          <w:sz w:val="20"/>
          <w:szCs w:val="20"/>
        </w:rPr>
      </w:pPr>
      <w:r w:rsidRPr="00564357">
        <w:rPr>
          <w:rFonts w:ascii="Times New Roman" w:hAnsi="Times New Roman" w:cs="Times New Roman"/>
          <w:sz w:val="20"/>
          <w:szCs w:val="20"/>
        </w:rPr>
        <w:t xml:space="preserve">Figure S3 Supplementary results on </w:t>
      </w:r>
      <w:r w:rsidRPr="00564357">
        <w:rPr>
          <w:rFonts w:ascii="Times New Roman" w:hAnsi="Times New Roman" w:cs="Times New Roman"/>
          <w:color w:val="000000" w:themeColor="text1"/>
          <w:sz w:val="20"/>
          <w:szCs w:val="20"/>
          <w:shd w:val="clear" w:color="auto" w:fill="FFFFFF"/>
        </w:rPr>
        <w:t>STK3 phosphorylate FOXO1 at serine 212 site.</w:t>
      </w:r>
    </w:p>
    <w:p w:rsidR="00564357" w:rsidRPr="00564357" w:rsidRDefault="00564357" w:rsidP="00564357">
      <w:pPr>
        <w:pStyle w:val="HTMLPreformatted"/>
        <w:rPr>
          <w:rFonts w:ascii="Times New Roman" w:eastAsia="Times New Roman" w:hAnsi="Times New Roman" w:cs="Times New Roman"/>
          <w:color w:val="000000"/>
          <w:sz w:val="20"/>
          <w:szCs w:val="20"/>
        </w:rPr>
      </w:pPr>
      <w:r>
        <w:rPr>
          <w:i/>
          <w:iCs/>
          <w:noProof/>
          <w:color w:val="000000" w:themeColor="text1"/>
          <w:sz w:val="20"/>
          <w:szCs w:val="20"/>
        </w:rPr>
        <w:drawing>
          <wp:anchor distT="0" distB="0" distL="114300" distR="114300" simplePos="0" relativeHeight="251659264" behindDoc="0" locked="0" layoutInCell="1" allowOverlap="1" wp14:anchorId="63C00737" wp14:editId="58E1B088">
            <wp:simplePos x="0" y="0"/>
            <wp:positionH relativeFrom="column">
              <wp:posOffset>1905</wp:posOffset>
            </wp:positionH>
            <wp:positionV relativeFrom="paragraph">
              <wp:posOffset>251823</wp:posOffset>
            </wp:positionV>
            <wp:extent cx="5269865" cy="4682490"/>
            <wp:effectExtent l="0" t="0" r="635" b="3810"/>
            <wp:wrapTopAndBottom/>
            <wp:docPr id="12195882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588295" name="Picture 1219588295"/>
                    <pic:cNvPicPr/>
                  </pic:nvPicPr>
                  <pic:blipFill rotWithShape="1">
                    <a:blip r:embed="rId6" cstate="print">
                      <a:extLst>
                        <a:ext uri="{28A0092B-C50C-407E-A947-70E740481C1C}">
                          <a14:useLocalDpi xmlns:a14="http://schemas.microsoft.com/office/drawing/2010/main" val="0"/>
                        </a:ext>
                      </a:extLst>
                    </a:blip>
                    <a:srcRect b="18540"/>
                    <a:stretch/>
                  </pic:blipFill>
                  <pic:spPr bwMode="auto">
                    <a:xfrm>
                      <a:off x="0" y="0"/>
                      <a:ext cx="5269865" cy="4682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64357" w:rsidRPr="00EE629B" w:rsidRDefault="00564357" w:rsidP="00564357">
      <w:pPr>
        <w:jc w:val="both"/>
        <w:rPr>
          <w:i/>
          <w:iCs/>
          <w:color w:val="000000" w:themeColor="text1"/>
          <w:sz w:val="20"/>
          <w:szCs w:val="20"/>
        </w:rPr>
      </w:pPr>
      <w:r w:rsidRPr="00BD2D99">
        <w:rPr>
          <w:i/>
          <w:iCs/>
          <w:color w:val="000000" w:themeColor="text1"/>
          <w:sz w:val="20"/>
          <w:szCs w:val="20"/>
        </w:rPr>
        <w:t xml:space="preserve">Fig. S1 </w:t>
      </w:r>
      <w:r>
        <w:rPr>
          <w:i/>
          <w:iCs/>
          <w:color w:val="000000" w:themeColor="text1"/>
          <w:sz w:val="20"/>
          <w:szCs w:val="20"/>
        </w:rPr>
        <w:t>Supplementary statistical results.</w:t>
      </w:r>
      <w:r w:rsidRPr="00BD2D99">
        <w:rPr>
          <w:rFonts w:eastAsia="FangSong"/>
          <w:color w:val="000000" w:themeColor="text1"/>
          <w:sz w:val="20"/>
          <w:szCs w:val="20"/>
        </w:rPr>
        <w:t xml:space="preserve"> (a) </w:t>
      </w:r>
      <w:r w:rsidRPr="00BD2D99">
        <w:rPr>
          <w:rFonts w:eastAsia="FangSong"/>
          <w:color w:val="000000" w:themeColor="text1"/>
          <w:sz w:val="20"/>
          <w:szCs w:val="20"/>
          <w:shd w:val="clear" w:color="auto" w:fill="FFFFFF"/>
        </w:rPr>
        <w:t xml:space="preserve">Statistical results of the </w:t>
      </w:r>
      <w:proofErr w:type="spellStart"/>
      <w:r w:rsidRPr="00BD2D99">
        <w:rPr>
          <w:rFonts w:eastAsia="FangSong"/>
          <w:color w:val="000000" w:themeColor="text1"/>
          <w:sz w:val="20"/>
          <w:szCs w:val="20"/>
          <w:shd w:val="clear" w:color="auto" w:fill="FFFFFF"/>
        </w:rPr>
        <w:t>EdU</w:t>
      </w:r>
      <w:proofErr w:type="spellEnd"/>
      <w:r w:rsidRPr="00BD2D99">
        <w:rPr>
          <w:rFonts w:eastAsia="FangSong"/>
          <w:color w:val="000000" w:themeColor="text1"/>
          <w:sz w:val="20"/>
          <w:szCs w:val="20"/>
          <w:shd w:val="clear" w:color="auto" w:fill="FFFFFF"/>
        </w:rPr>
        <w:t xml:space="preserve"> assay</w:t>
      </w:r>
      <w:r>
        <w:rPr>
          <w:rFonts w:eastAsia="FangSong"/>
          <w:color w:val="000000" w:themeColor="text1"/>
          <w:sz w:val="20"/>
          <w:szCs w:val="20"/>
          <w:shd w:val="clear" w:color="auto" w:fill="FFFFFF"/>
        </w:rPr>
        <w:t xml:space="preserve"> in</w:t>
      </w:r>
      <w:r w:rsidRPr="00BD2D99">
        <w:rPr>
          <w:rFonts w:eastAsia="FangSong"/>
          <w:color w:val="000000" w:themeColor="text1"/>
          <w:sz w:val="20"/>
          <w:szCs w:val="20"/>
          <w:shd w:val="clear" w:color="auto" w:fill="FFFFFF"/>
        </w:rPr>
        <w:t xml:space="preserve"> KYSE150 and TE1 cell lines.</w:t>
      </w:r>
      <w:r w:rsidRPr="00BD2D99">
        <w:rPr>
          <w:rFonts w:eastAsia="FangSong"/>
          <w:color w:val="000000" w:themeColor="text1"/>
          <w:spacing w:val="-1"/>
          <w:sz w:val="20"/>
          <w:szCs w:val="20"/>
          <w:shd w:val="clear" w:color="auto" w:fill="FFFFFF"/>
        </w:rPr>
        <w:t xml:space="preserve"> (b) </w:t>
      </w:r>
      <w:r w:rsidRPr="00BD2D99">
        <w:rPr>
          <w:rFonts w:eastAsia="FangSong"/>
          <w:color w:val="000000" w:themeColor="text1"/>
          <w:sz w:val="20"/>
          <w:szCs w:val="20"/>
          <w:shd w:val="clear" w:color="auto" w:fill="FFFFFF"/>
        </w:rPr>
        <w:t xml:space="preserve">Statistical results of IC50 value in shRNA-STK3 group in </w:t>
      </w:r>
      <w:r>
        <w:rPr>
          <w:rFonts w:eastAsia="FangSong"/>
          <w:color w:val="000000" w:themeColor="text1"/>
          <w:sz w:val="20"/>
          <w:szCs w:val="20"/>
          <w:shd w:val="clear" w:color="auto" w:fill="FFFFFF"/>
        </w:rPr>
        <w:t>KYSE150 and TE1</w:t>
      </w:r>
      <w:r w:rsidRPr="00BD2D99">
        <w:rPr>
          <w:rFonts w:eastAsia="FangSong"/>
          <w:color w:val="000000" w:themeColor="text1"/>
          <w:sz w:val="20"/>
          <w:szCs w:val="20"/>
          <w:shd w:val="clear" w:color="auto" w:fill="FFFFFF"/>
        </w:rPr>
        <w:t xml:space="preserve"> cell lines. </w:t>
      </w:r>
      <w:r>
        <w:rPr>
          <w:rFonts w:eastAsia="FangSong"/>
          <w:color w:val="000000" w:themeColor="text1"/>
          <w:sz w:val="20"/>
          <w:szCs w:val="20"/>
          <w:shd w:val="clear" w:color="auto" w:fill="FFFFFF"/>
        </w:rPr>
        <w:t xml:space="preserve">(c) </w:t>
      </w:r>
      <w:r w:rsidRPr="00BD2D99">
        <w:rPr>
          <w:rFonts w:eastAsia="FangSong"/>
          <w:color w:val="000000" w:themeColor="text1"/>
          <w:spacing w:val="-1"/>
          <w:sz w:val="20"/>
          <w:szCs w:val="20"/>
          <w:shd w:val="clear" w:color="auto" w:fill="FFFFFF"/>
        </w:rPr>
        <w:t xml:space="preserve">ECA109 cells stabling expressing shRNA specific to STK3 were cultivated for at least 24 hours, and the cell lysates were subjected to western blotting and Q-PCR. The cell viability was also examined by CCK8 assay. </w:t>
      </w:r>
      <w:r w:rsidRPr="00BD2D99">
        <w:rPr>
          <w:rFonts w:eastAsia="FangSong"/>
          <w:color w:val="000000" w:themeColor="text1"/>
          <w:sz w:val="20"/>
          <w:szCs w:val="20"/>
          <w:shd w:val="clear" w:color="auto" w:fill="FFFFFF"/>
        </w:rPr>
        <w:t xml:space="preserve">(d-e) ECA109 cells stabling expressing </w:t>
      </w:r>
      <w:r w:rsidRPr="00BD2D99">
        <w:rPr>
          <w:rFonts w:eastAsia="FangSong"/>
          <w:color w:val="000000" w:themeColor="text1"/>
          <w:sz w:val="20"/>
          <w:szCs w:val="20"/>
          <w:shd w:val="clear" w:color="auto" w:fill="FFFFFF"/>
        </w:rPr>
        <w:lastRenderedPageBreak/>
        <w:t xml:space="preserve">shRNA-STK3 were subjected to </w:t>
      </w:r>
      <w:proofErr w:type="spellStart"/>
      <w:r w:rsidRPr="00BD2D99">
        <w:rPr>
          <w:rFonts w:eastAsia="FangSong"/>
          <w:color w:val="000000" w:themeColor="text1"/>
          <w:sz w:val="20"/>
          <w:szCs w:val="20"/>
          <w:shd w:val="clear" w:color="auto" w:fill="FFFFFF"/>
        </w:rPr>
        <w:t>transwell</w:t>
      </w:r>
      <w:proofErr w:type="spellEnd"/>
      <w:r w:rsidRPr="00BD2D99">
        <w:rPr>
          <w:rFonts w:eastAsia="FangSong"/>
          <w:color w:val="000000" w:themeColor="text1"/>
          <w:sz w:val="20"/>
          <w:szCs w:val="20"/>
          <w:shd w:val="clear" w:color="auto" w:fill="FFFFFF"/>
        </w:rPr>
        <w:t xml:space="preserve"> and wound scratch assays. (f) STK3 overexpression in ECA109 cells. The cell lysates were subjected to western blotting and Q-PCR. The cell viability and migration were examined by CCK8 assay</w:t>
      </w:r>
      <w:r>
        <w:rPr>
          <w:rFonts w:eastAsia="FangSong"/>
          <w:color w:val="000000" w:themeColor="text1"/>
          <w:sz w:val="20"/>
          <w:szCs w:val="20"/>
          <w:shd w:val="clear" w:color="auto" w:fill="FFFFFF"/>
        </w:rPr>
        <w:t>. (g-h)</w:t>
      </w:r>
      <w:r w:rsidRPr="00BD2D99">
        <w:rPr>
          <w:rFonts w:eastAsia="FangSong"/>
          <w:color w:val="000000" w:themeColor="text1"/>
          <w:sz w:val="20"/>
          <w:szCs w:val="20"/>
          <w:shd w:val="clear" w:color="auto" w:fill="FFFFFF"/>
        </w:rPr>
        <w:t xml:space="preserve"> </w:t>
      </w:r>
      <w:r>
        <w:rPr>
          <w:rFonts w:eastAsia="FangSong"/>
          <w:color w:val="000000" w:themeColor="text1"/>
          <w:sz w:val="20"/>
          <w:szCs w:val="20"/>
          <w:shd w:val="clear" w:color="auto" w:fill="FFFFFF"/>
        </w:rPr>
        <w:t xml:space="preserve">The migration capability of ECA109 cells stably expressing shSTK3 </w:t>
      </w:r>
      <w:proofErr w:type="spellStart"/>
      <w:r w:rsidRPr="00BD2D99">
        <w:rPr>
          <w:rFonts w:eastAsia="FangSong"/>
          <w:color w:val="000000" w:themeColor="text1"/>
          <w:sz w:val="20"/>
          <w:szCs w:val="20"/>
          <w:shd w:val="clear" w:color="auto" w:fill="FFFFFF"/>
        </w:rPr>
        <w:t>transwell</w:t>
      </w:r>
      <w:proofErr w:type="spellEnd"/>
      <w:r w:rsidRPr="00BD2D99">
        <w:rPr>
          <w:rFonts w:eastAsia="FangSong"/>
          <w:color w:val="000000" w:themeColor="text1"/>
          <w:sz w:val="20"/>
          <w:szCs w:val="20"/>
          <w:shd w:val="clear" w:color="auto" w:fill="FFFFFF"/>
        </w:rPr>
        <w:t xml:space="preserve"> assay and wound scratch assay. (</w:t>
      </w:r>
      <w:proofErr w:type="spellStart"/>
      <w:r>
        <w:rPr>
          <w:rFonts w:eastAsia="FangSong"/>
          <w:color w:val="000000" w:themeColor="text1"/>
          <w:sz w:val="20"/>
          <w:szCs w:val="20"/>
          <w:shd w:val="clear" w:color="auto" w:fill="FFFFFF"/>
        </w:rPr>
        <w:t>i</w:t>
      </w:r>
      <w:proofErr w:type="spellEnd"/>
      <w:r w:rsidRPr="00BD2D99">
        <w:rPr>
          <w:rFonts w:eastAsia="FangSong"/>
          <w:color w:val="000000" w:themeColor="text1"/>
          <w:sz w:val="20"/>
          <w:szCs w:val="20"/>
          <w:shd w:val="clear" w:color="auto" w:fill="FFFFFF"/>
        </w:rPr>
        <w:t xml:space="preserve">) Statistical results of IC50 value of STK3-OE group and NC group in ESCC cell lines </w:t>
      </w:r>
      <w:r w:rsidRPr="00BD2D99">
        <w:rPr>
          <w:sz w:val="20"/>
          <w:szCs w:val="20"/>
        </w:rPr>
        <w:t>(* p &lt; 0.05, ** p &lt; 0.01, *** p &lt; 0.001, **** p &lt; 0.0001.</w:t>
      </w:r>
      <w:r w:rsidRPr="00BD2D99">
        <w:rPr>
          <w:rFonts w:eastAsia="SimSun"/>
          <w:color w:val="000000" w:themeColor="text1"/>
          <w:sz w:val="20"/>
          <w:szCs w:val="20"/>
        </w:rPr>
        <w:t>).</w:t>
      </w:r>
    </w:p>
    <w:p w:rsidR="00564357" w:rsidRDefault="00564357" w:rsidP="00564357">
      <w:pPr>
        <w:jc w:val="both"/>
        <w:rPr>
          <w:color w:val="000000" w:themeColor="text1"/>
          <w:sz w:val="20"/>
          <w:szCs w:val="20"/>
        </w:rPr>
      </w:pPr>
    </w:p>
    <w:p w:rsidR="00564357" w:rsidRPr="00BD2D99" w:rsidRDefault="00564357" w:rsidP="00564357">
      <w:pPr>
        <w:jc w:val="both"/>
        <w:rPr>
          <w:color w:val="000000" w:themeColor="text1"/>
          <w:sz w:val="20"/>
          <w:szCs w:val="20"/>
        </w:rPr>
      </w:pPr>
      <w:r>
        <w:rPr>
          <w:rFonts w:eastAsia="SimSun"/>
          <w:i/>
          <w:iCs/>
          <w:noProof/>
          <w:color w:val="000000" w:themeColor="text1"/>
          <w:sz w:val="20"/>
          <w:szCs w:val="20"/>
          <w:shd w:val="clear" w:color="auto" w:fill="FFFFFF"/>
        </w:rPr>
        <w:drawing>
          <wp:anchor distT="0" distB="0" distL="114300" distR="114300" simplePos="0" relativeHeight="251660288" behindDoc="0" locked="0" layoutInCell="1" allowOverlap="1" wp14:anchorId="653E2C4B" wp14:editId="1D361FC0">
            <wp:simplePos x="0" y="0"/>
            <wp:positionH relativeFrom="column">
              <wp:posOffset>14605</wp:posOffset>
            </wp:positionH>
            <wp:positionV relativeFrom="paragraph">
              <wp:posOffset>156210</wp:posOffset>
            </wp:positionV>
            <wp:extent cx="5269865" cy="4312285"/>
            <wp:effectExtent l="0" t="0" r="635" b="5715"/>
            <wp:wrapTopAndBottom/>
            <wp:docPr id="1672869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86935" name="Picture 16728693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69865" cy="4312285"/>
                    </a:xfrm>
                    <a:prstGeom prst="rect">
                      <a:avLst/>
                    </a:prstGeom>
                  </pic:spPr>
                </pic:pic>
              </a:graphicData>
            </a:graphic>
            <wp14:sizeRelH relativeFrom="margin">
              <wp14:pctWidth>0</wp14:pctWidth>
            </wp14:sizeRelH>
            <wp14:sizeRelV relativeFrom="margin">
              <wp14:pctHeight>0</wp14:pctHeight>
            </wp14:sizeRelV>
          </wp:anchor>
        </w:drawing>
      </w:r>
    </w:p>
    <w:p w:rsidR="00564357" w:rsidRPr="00BD2D99" w:rsidRDefault="00564357" w:rsidP="00564357">
      <w:pPr>
        <w:jc w:val="both"/>
        <w:rPr>
          <w:rFonts w:eastAsia="SimSun"/>
          <w:color w:val="000000" w:themeColor="text1"/>
          <w:sz w:val="20"/>
          <w:szCs w:val="20"/>
          <w:shd w:val="clear" w:color="auto" w:fill="FFFFFF"/>
        </w:rPr>
      </w:pPr>
      <w:r w:rsidRPr="00BD2D99">
        <w:rPr>
          <w:i/>
          <w:iCs/>
          <w:color w:val="000000" w:themeColor="text1"/>
          <w:sz w:val="20"/>
          <w:szCs w:val="20"/>
        </w:rPr>
        <w:t xml:space="preserve">Fig. S2 Moderate concentration </w:t>
      </w:r>
      <w:r w:rsidRPr="00BD2D99">
        <w:rPr>
          <w:rFonts w:eastAsia="SimSun"/>
          <w:i/>
          <w:iCs/>
          <w:color w:val="000000" w:themeColor="text1"/>
          <w:sz w:val="20"/>
          <w:szCs w:val="20"/>
        </w:rPr>
        <w:t xml:space="preserve">of </w:t>
      </w:r>
      <w:r w:rsidRPr="00BD2D99">
        <w:rPr>
          <w:i/>
          <w:iCs/>
          <w:color w:val="000000" w:themeColor="text1"/>
          <w:sz w:val="20"/>
          <w:szCs w:val="20"/>
        </w:rPr>
        <w:t>H</w:t>
      </w:r>
      <w:r w:rsidRPr="00BD2D99">
        <w:rPr>
          <w:i/>
          <w:iCs/>
          <w:color w:val="000000" w:themeColor="text1"/>
          <w:sz w:val="20"/>
          <w:szCs w:val="20"/>
          <w:vertAlign w:val="subscript"/>
        </w:rPr>
        <w:t>2</w:t>
      </w:r>
      <w:r w:rsidRPr="00BD2D99">
        <w:rPr>
          <w:i/>
          <w:iCs/>
          <w:color w:val="000000" w:themeColor="text1"/>
          <w:sz w:val="20"/>
          <w:szCs w:val="20"/>
        </w:rPr>
        <w:t>O</w:t>
      </w:r>
      <w:r w:rsidRPr="00BD2D99">
        <w:rPr>
          <w:i/>
          <w:iCs/>
          <w:color w:val="000000" w:themeColor="text1"/>
          <w:sz w:val="20"/>
          <w:szCs w:val="20"/>
          <w:vertAlign w:val="subscript"/>
        </w:rPr>
        <w:t>2</w:t>
      </w:r>
      <w:r w:rsidRPr="00BD2D99">
        <w:rPr>
          <w:i/>
          <w:iCs/>
          <w:color w:val="000000" w:themeColor="text1"/>
          <w:sz w:val="20"/>
          <w:szCs w:val="20"/>
        </w:rPr>
        <w:t xml:space="preserve"> induces the upregulation of cellular ROS level.</w:t>
      </w:r>
      <w:r w:rsidRPr="00BD2D99">
        <w:rPr>
          <w:color w:val="000000" w:themeColor="text1"/>
          <w:sz w:val="20"/>
          <w:szCs w:val="20"/>
        </w:rPr>
        <w:t xml:space="preserve"> (a-b) The concentration of H</w:t>
      </w:r>
      <w:r w:rsidRPr="00BD2D99">
        <w:rPr>
          <w:color w:val="000000" w:themeColor="text1"/>
          <w:sz w:val="20"/>
          <w:szCs w:val="20"/>
          <w:vertAlign w:val="subscript"/>
        </w:rPr>
        <w:t>2</w:t>
      </w:r>
      <w:r w:rsidRPr="00BD2D99">
        <w:rPr>
          <w:color w:val="000000" w:themeColor="text1"/>
          <w:sz w:val="20"/>
          <w:szCs w:val="20"/>
        </w:rPr>
        <w:t>O</w:t>
      </w:r>
      <w:r w:rsidRPr="00BD2D99">
        <w:rPr>
          <w:color w:val="000000" w:themeColor="text1"/>
          <w:sz w:val="20"/>
          <w:szCs w:val="20"/>
          <w:vertAlign w:val="subscript"/>
        </w:rPr>
        <w:t>2</w:t>
      </w:r>
      <w:r w:rsidRPr="00BD2D99">
        <w:rPr>
          <w:color w:val="000000" w:themeColor="text1"/>
          <w:sz w:val="20"/>
          <w:szCs w:val="20"/>
        </w:rPr>
        <w:t xml:space="preserve"> was set from 0mM to 1.0mM, and </w:t>
      </w:r>
      <w:r w:rsidRPr="00BD2D99">
        <w:rPr>
          <w:color w:val="000000" w:themeColor="text1"/>
          <w:sz w:val="20"/>
          <w:szCs w:val="20"/>
          <w:shd w:val="clear" w:color="auto" w:fill="FFFFFF"/>
        </w:rPr>
        <w:t>KYSE150 and TE1 cells were treated with different concentrations between 0 and 20 hours at the 4-hour interval. The cell lysates were subjected to immunoblotting using specific antibodies. (c) KYSE150 and TE1 cells stably overexpressing STK3 were treated by 0mM or 0.4mM H</w:t>
      </w:r>
      <w:r w:rsidRPr="00BD2D99">
        <w:rPr>
          <w:color w:val="000000" w:themeColor="text1"/>
          <w:sz w:val="20"/>
          <w:szCs w:val="20"/>
          <w:shd w:val="clear" w:color="auto" w:fill="FFFFFF"/>
          <w:vertAlign w:val="subscript"/>
        </w:rPr>
        <w:t>2</w:t>
      </w:r>
      <w:r w:rsidRPr="00BD2D99">
        <w:rPr>
          <w:color w:val="000000" w:themeColor="text1"/>
          <w:sz w:val="20"/>
          <w:szCs w:val="20"/>
          <w:shd w:val="clear" w:color="auto" w:fill="FFFFFF"/>
        </w:rPr>
        <w:t>O</w:t>
      </w:r>
      <w:r w:rsidRPr="00BD2D99">
        <w:rPr>
          <w:color w:val="000000" w:themeColor="text1"/>
          <w:sz w:val="20"/>
          <w:szCs w:val="20"/>
          <w:shd w:val="clear" w:color="auto" w:fill="FFFFFF"/>
          <w:vertAlign w:val="subscript"/>
        </w:rPr>
        <w:t>2</w:t>
      </w:r>
      <w:r w:rsidRPr="00BD2D99">
        <w:rPr>
          <w:color w:val="000000" w:themeColor="text1"/>
          <w:sz w:val="20"/>
          <w:szCs w:val="20"/>
          <w:shd w:val="clear" w:color="auto" w:fill="FFFFFF"/>
        </w:rPr>
        <w:t>. The cells were cultivated for 20 hours, and the cell lysates were subjected to western blotting</w:t>
      </w:r>
      <w:r>
        <w:rPr>
          <w:color w:val="000000" w:themeColor="text1"/>
          <w:sz w:val="20"/>
          <w:szCs w:val="20"/>
          <w:shd w:val="clear" w:color="auto" w:fill="FFFFFF"/>
        </w:rPr>
        <w:t xml:space="preserve"> using specific antibodies</w:t>
      </w:r>
      <w:r w:rsidRPr="00BD2D99">
        <w:rPr>
          <w:color w:val="000000" w:themeColor="text1"/>
          <w:sz w:val="20"/>
          <w:szCs w:val="20"/>
          <w:shd w:val="clear" w:color="auto" w:fill="FFFFFF"/>
        </w:rPr>
        <w:t>. (d) The KYSE150 and TE1 cells were treated with different concentrations of H</w:t>
      </w:r>
      <w:r w:rsidRPr="00BD2D99">
        <w:rPr>
          <w:color w:val="000000" w:themeColor="text1"/>
          <w:sz w:val="20"/>
          <w:szCs w:val="20"/>
          <w:shd w:val="clear" w:color="auto" w:fill="FFFFFF"/>
          <w:vertAlign w:val="subscript"/>
        </w:rPr>
        <w:t>2</w:t>
      </w:r>
      <w:r w:rsidRPr="00BD2D99">
        <w:rPr>
          <w:color w:val="000000" w:themeColor="text1"/>
          <w:sz w:val="20"/>
          <w:szCs w:val="20"/>
          <w:shd w:val="clear" w:color="auto" w:fill="FFFFFF"/>
        </w:rPr>
        <w:t>O</w:t>
      </w:r>
      <w:r w:rsidRPr="00BD2D99">
        <w:rPr>
          <w:color w:val="000000" w:themeColor="text1"/>
          <w:sz w:val="20"/>
          <w:szCs w:val="20"/>
          <w:shd w:val="clear" w:color="auto" w:fill="FFFFFF"/>
          <w:vertAlign w:val="subscript"/>
        </w:rPr>
        <w:t>2</w:t>
      </w:r>
      <w:r w:rsidRPr="00BD2D99">
        <w:rPr>
          <w:color w:val="000000" w:themeColor="text1"/>
          <w:sz w:val="20"/>
          <w:szCs w:val="20"/>
          <w:shd w:val="clear" w:color="auto" w:fill="FFFFFF"/>
        </w:rPr>
        <w:t xml:space="preserve"> </w:t>
      </w:r>
      <w:r>
        <w:rPr>
          <w:color w:val="000000" w:themeColor="text1"/>
          <w:sz w:val="20"/>
          <w:szCs w:val="20"/>
          <w:shd w:val="clear" w:color="auto" w:fill="FFFFFF"/>
        </w:rPr>
        <w:t xml:space="preserve">for </w:t>
      </w:r>
      <w:r w:rsidRPr="00BD2D99">
        <w:rPr>
          <w:color w:val="000000" w:themeColor="text1"/>
          <w:sz w:val="20"/>
          <w:szCs w:val="20"/>
          <w:shd w:val="clear" w:color="auto" w:fill="FFFFFF"/>
        </w:rPr>
        <w:t xml:space="preserve">20 hours. The cells were collected and made into suspension according to </w:t>
      </w:r>
      <w:r w:rsidRPr="00BD2D99">
        <w:rPr>
          <w:rFonts w:eastAsia="SimSun"/>
          <w:color w:val="000000" w:themeColor="text1"/>
          <w:sz w:val="20"/>
          <w:szCs w:val="20"/>
          <w:shd w:val="clear" w:color="auto" w:fill="FFFFFF"/>
        </w:rPr>
        <w:t>the manufacturer’s instructions</w:t>
      </w:r>
      <w:r>
        <w:rPr>
          <w:rFonts w:eastAsia="SimSun"/>
          <w:color w:val="000000" w:themeColor="text1"/>
          <w:sz w:val="20"/>
          <w:szCs w:val="20"/>
          <w:shd w:val="clear" w:color="auto" w:fill="FFFFFF"/>
        </w:rPr>
        <w:t>, and then the supernatants were subjected to the flow cytometer</w:t>
      </w:r>
      <w:r w:rsidRPr="00BD2D99">
        <w:rPr>
          <w:rFonts w:eastAsia="SimSun"/>
          <w:color w:val="000000" w:themeColor="text1"/>
          <w:sz w:val="20"/>
          <w:szCs w:val="20"/>
          <w:shd w:val="clear" w:color="auto" w:fill="FFFFFF"/>
        </w:rPr>
        <w:t>. (</w:t>
      </w:r>
      <w:r>
        <w:rPr>
          <w:rFonts w:eastAsia="SimSun"/>
          <w:color w:val="000000" w:themeColor="text1"/>
          <w:sz w:val="20"/>
          <w:szCs w:val="20"/>
          <w:shd w:val="clear" w:color="auto" w:fill="FFFFFF"/>
        </w:rPr>
        <w:t>e</w:t>
      </w:r>
      <w:r w:rsidRPr="00BD2D99">
        <w:rPr>
          <w:rFonts w:eastAsia="SimSun"/>
          <w:color w:val="000000" w:themeColor="text1"/>
          <w:sz w:val="20"/>
          <w:szCs w:val="20"/>
          <w:shd w:val="clear" w:color="auto" w:fill="FFFFFF"/>
        </w:rPr>
        <w:t xml:space="preserve">) </w:t>
      </w:r>
      <w:r>
        <w:rPr>
          <w:rFonts w:eastAsia="SimSun"/>
          <w:color w:val="000000" w:themeColor="text1"/>
          <w:sz w:val="20"/>
          <w:szCs w:val="20"/>
          <w:shd w:val="clear" w:color="auto" w:fill="FFFFFF"/>
        </w:rPr>
        <w:t xml:space="preserve">The KYSE150 and TE1 cells were treated with 0.4 mM </w:t>
      </w:r>
      <w:r w:rsidRPr="00BD2D99">
        <w:rPr>
          <w:color w:val="000000" w:themeColor="text1"/>
          <w:sz w:val="20"/>
          <w:szCs w:val="20"/>
          <w:shd w:val="clear" w:color="auto" w:fill="FFFFFF"/>
        </w:rPr>
        <w:t>H</w:t>
      </w:r>
      <w:r w:rsidRPr="00BD2D99">
        <w:rPr>
          <w:color w:val="000000" w:themeColor="text1"/>
          <w:sz w:val="20"/>
          <w:szCs w:val="20"/>
          <w:shd w:val="clear" w:color="auto" w:fill="FFFFFF"/>
          <w:vertAlign w:val="subscript"/>
        </w:rPr>
        <w:t>2</w:t>
      </w:r>
      <w:r w:rsidRPr="00BD2D99">
        <w:rPr>
          <w:color w:val="000000" w:themeColor="text1"/>
          <w:sz w:val="20"/>
          <w:szCs w:val="20"/>
          <w:shd w:val="clear" w:color="auto" w:fill="FFFFFF"/>
        </w:rPr>
        <w:t>O</w:t>
      </w:r>
      <w:r w:rsidRPr="00BD2D99">
        <w:rPr>
          <w:color w:val="000000" w:themeColor="text1"/>
          <w:sz w:val="20"/>
          <w:szCs w:val="20"/>
          <w:shd w:val="clear" w:color="auto" w:fill="FFFFFF"/>
          <w:vertAlign w:val="subscript"/>
        </w:rPr>
        <w:t>2</w:t>
      </w:r>
      <w:r>
        <w:rPr>
          <w:color w:val="000000" w:themeColor="text1"/>
          <w:sz w:val="20"/>
          <w:szCs w:val="20"/>
          <w:shd w:val="clear" w:color="auto" w:fill="FFFFFF"/>
          <w:vertAlign w:val="subscript"/>
        </w:rPr>
        <w:t xml:space="preserve"> </w:t>
      </w:r>
      <w:r>
        <w:rPr>
          <w:color w:val="000000" w:themeColor="text1"/>
          <w:sz w:val="20"/>
          <w:szCs w:val="20"/>
          <w:shd w:val="clear" w:color="auto" w:fill="FFFFFF"/>
        </w:rPr>
        <w:t>with or without NAC. The cells were processed and analyzed as aforementioned.</w:t>
      </w:r>
      <w:r>
        <w:rPr>
          <w:rFonts w:eastAsia="SimSun"/>
          <w:color w:val="000000" w:themeColor="text1"/>
          <w:sz w:val="20"/>
          <w:szCs w:val="20"/>
          <w:shd w:val="clear" w:color="auto" w:fill="FFFFFF"/>
        </w:rPr>
        <w:t xml:space="preserve"> (f) </w:t>
      </w:r>
      <w:r w:rsidRPr="00BD2D99">
        <w:rPr>
          <w:rFonts w:eastAsia="SimSun"/>
          <w:color w:val="000000" w:themeColor="text1"/>
          <w:sz w:val="20"/>
          <w:szCs w:val="20"/>
          <w:shd w:val="clear" w:color="auto" w:fill="FFFFFF"/>
        </w:rPr>
        <w:t xml:space="preserve">The results gathered from two independent experiments showed intracellular ROS levels in the concentration gradient model in KYSE150 and TE1 cell lines. (g) The statistical results of the intracellular ROS levels in NAC rescue experiments. The </w:t>
      </w:r>
      <w:r w:rsidRPr="00BD2D99">
        <w:rPr>
          <w:rFonts w:eastAsia="SimSun"/>
          <w:color w:val="000000" w:themeColor="text1"/>
          <w:sz w:val="20"/>
          <w:szCs w:val="20"/>
        </w:rPr>
        <w:t>data were presented from three independent experiments in duplicate (* p &lt; 0.05).</w:t>
      </w:r>
    </w:p>
    <w:p w:rsidR="00564357" w:rsidRDefault="00564357" w:rsidP="00564357">
      <w:pPr>
        <w:jc w:val="both"/>
        <w:rPr>
          <w:rFonts w:eastAsia="SimSun"/>
          <w:i/>
          <w:iCs/>
          <w:color w:val="000000" w:themeColor="text1"/>
          <w:sz w:val="20"/>
          <w:szCs w:val="20"/>
          <w:shd w:val="clear" w:color="auto" w:fill="FFFFFF"/>
        </w:rPr>
      </w:pPr>
      <w:r>
        <w:rPr>
          <w:noProof/>
          <w:sz w:val="20"/>
          <w:szCs w:val="20"/>
        </w:rPr>
        <w:lastRenderedPageBreak/>
        <w:drawing>
          <wp:anchor distT="0" distB="0" distL="114300" distR="114300" simplePos="0" relativeHeight="251661312" behindDoc="0" locked="0" layoutInCell="1" allowOverlap="1" wp14:anchorId="406CCECF" wp14:editId="2946AEAC">
            <wp:simplePos x="0" y="0"/>
            <wp:positionH relativeFrom="column">
              <wp:posOffset>25559</wp:posOffset>
            </wp:positionH>
            <wp:positionV relativeFrom="paragraph">
              <wp:posOffset>125911</wp:posOffset>
            </wp:positionV>
            <wp:extent cx="5270400" cy="3834000"/>
            <wp:effectExtent l="0" t="0" r="635" b="1905"/>
            <wp:wrapTopAndBottom/>
            <wp:docPr id="15600543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054391" name="Picture 156005439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0400" cy="3834000"/>
                    </a:xfrm>
                    <a:prstGeom prst="rect">
                      <a:avLst/>
                    </a:prstGeom>
                  </pic:spPr>
                </pic:pic>
              </a:graphicData>
            </a:graphic>
            <wp14:sizeRelH relativeFrom="margin">
              <wp14:pctWidth>0</wp14:pctWidth>
            </wp14:sizeRelH>
            <wp14:sizeRelV relativeFrom="margin">
              <wp14:pctHeight>0</wp14:pctHeight>
            </wp14:sizeRelV>
          </wp:anchor>
        </w:drawing>
      </w:r>
    </w:p>
    <w:p w:rsidR="00564357" w:rsidRPr="00564357" w:rsidRDefault="00564357" w:rsidP="00564357">
      <w:pPr>
        <w:pStyle w:val="HTMLPreformatted"/>
        <w:rPr>
          <w:rFonts w:ascii="Times New Roman" w:hAnsi="Times New Roman" w:cs="Times New Roman"/>
          <w:sz w:val="20"/>
          <w:szCs w:val="20"/>
        </w:rPr>
      </w:pPr>
      <w:r w:rsidRPr="00564357">
        <w:rPr>
          <w:rFonts w:ascii="Times New Roman" w:hAnsi="Times New Roman" w:cs="Times New Roman"/>
          <w:i/>
          <w:iCs/>
          <w:color w:val="000000" w:themeColor="text1"/>
          <w:sz w:val="20"/>
          <w:szCs w:val="20"/>
          <w:shd w:val="clear" w:color="auto" w:fill="FFFFFF"/>
        </w:rPr>
        <w:t xml:space="preserve">Fig. S3 </w:t>
      </w:r>
      <w:r w:rsidRPr="00564357">
        <w:rPr>
          <w:rFonts w:ascii="Times New Roman" w:hAnsi="Times New Roman" w:cs="Times New Roman"/>
          <w:sz w:val="20"/>
          <w:szCs w:val="20"/>
        </w:rPr>
        <w:t xml:space="preserve">Supplementary results on </w:t>
      </w:r>
      <w:r w:rsidRPr="00564357">
        <w:rPr>
          <w:rFonts w:ascii="Times New Roman" w:hAnsi="Times New Roman" w:cs="Times New Roman"/>
          <w:i/>
          <w:iCs/>
          <w:color w:val="000000" w:themeColor="text1"/>
          <w:sz w:val="20"/>
          <w:szCs w:val="20"/>
          <w:shd w:val="clear" w:color="auto" w:fill="FFFFFF"/>
        </w:rPr>
        <w:t>STK3 phosphorylate FOXO1 at serine 212 site.</w:t>
      </w:r>
    </w:p>
    <w:p w:rsidR="00564357" w:rsidRPr="00F35BD7" w:rsidRDefault="00564357" w:rsidP="00564357">
      <w:pPr>
        <w:jc w:val="both"/>
        <w:rPr>
          <w:rFonts w:eastAsia="SimSun"/>
          <w:i/>
          <w:iCs/>
          <w:color w:val="000000" w:themeColor="text1"/>
          <w:sz w:val="20"/>
          <w:szCs w:val="20"/>
          <w:shd w:val="clear" w:color="auto" w:fill="FFFFFF"/>
        </w:rPr>
      </w:pPr>
      <w:r w:rsidRPr="00BD2D99">
        <w:rPr>
          <w:rFonts w:eastAsia="SimSun"/>
          <w:color w:val="000000" w:themeColor="text1"/>
          <w:sz w:val="20"/>
          <w:szCs w:val="20"/>
          <w:shd w:val="clear" w:color="auto" w:fill="FFFFFF"/>
        </w:rPr>
        <w:t xml:space="preserve">(a) The online database showed the </w:t>
      </w:r>
      <w:r w:rsidRPr="00BD2D99">
        <w:rPr>
          <w:color w:val="000000" w:themeColor="text1"/>
          <w:sz w:val="20"/>
          <w:szCs w:val="20"/>
        </w:rPr>
        <w:t>amino acid sequence of the fox head domain</w:t>
      </w:r>
      <w:r>
        <w:rPr>
          <w:color w:val="000000" w:themeColor="text1"/>
          <w:sz w:val="20"/>
          <w:szCs w:val="20"/>
        </w:rPr>
        <w:t xml:space="preserve"> and the possible phosphorylation or acetylation site </w:t>
      </w:r>
      <w:r w:rsidRPr="00BD2D99">
        <w:rPr>
          <w:color w:val="000000" w:themeColor="text1"/>
          <w:sz w:val="20"/>
          <w:szCs w:val="20"/>
        </w:rPr>
        <w:t>in FOXO1</w:t>
      </w:r>
      <w:r>
        <w:rPr>
          <w:color w:val="000000" w:themeColor="text1"/>
          <w:sz w:val="20"/>
          <w:szCs w:val="20"/>
        </w:rPr>
        <w:t xml:space="preserve"> (</w:t>
      </w:r>
      <w:hyperlink r:id="rId9" w:history="1">
        <w:r w:rsidRPr="00393998">
          <w:rPr>
            <w:rStyle w:val="Hyperlink"/>
            <w:sz w:val="20"/>
            <w:szCs w:val="20"/>
          </w:rPr>
          <w:t>https://www.phosphosite.org/homeAction.action</w:t>
        </w:r>
      </w:hyperlink>
      <w:r>
        <w:rPr>
          <w:color w:val="000000" w:themeColor="text1"/>
          <w:sz w:val="20"/>
          <w:szCs w:val="20"/>
        </w:rPr>
        <w:t>)</w:t>
      </w:r>
      <w:r w:rsidRPr="00BD2D99">
        <w:rPr>
          <w:color w:val="000000" w:themeColor="text1"/>
          <w:sz w:val="20"/>
          <w:szCs w:val="20"/>
        </w:rPr>
        <w:t>.</w:t>
      </w:r>
      <w:r>
        <w:rPr>
          <w:color w:val="000000" w:themeColor="text1"/>
          <w:sz w:val="20"/>
          <w:szCs w:val="20"/>
        </w:rPr>
        <w:t xml:space="preserve"> </w:t>
      </w:r>
      <w:r w:rsidRPr="00BD2D99">
        <w:rPr>
          <w:color w:val="000000" w:themeColor="text1"/>
          <w:sz w:val="20"/>
          <w:szCs w:val="20"/>
        </w:rPr>
        <w:t xml:space="preserve">(b) The TE1 cells with STK3 deletion were transfected with siRNA-FOXO1#1 </w:t>
      </w:r>
      <w:r>
        <w:rPr>
          <w:color w:val="000000" w:themeColor="text1"/>
          <w:sz w:val="20"/>
          <w:szCs w:val="20"/>
        </w:rPr>
        <w:t>or</w:t>
      </w:r>
      <w:r w:rsidRPr="00BD2D99">
        <w:rPr>
          <w:color w:val="000000" w:themeColor="text1"/>
          <w:sz w:val="20"/>
          <w:szCs w:val="20"/>
        </w:rPr>
        <w:t xml:space="preserve"> pVL2-CMV-FOXO1</w:t>
      </w:r>
      <w:r w:rsidRPr="00BD2D99">
        <w:rPr>
          <w:color w:val="000000" w:themeColor="text1"/>
          <w:sz w:val="20"/>
          <w:szCs w:val="20"/>
          <w:vertAlign w:val="superscript"/>
        </w:rPr>
        <w:t>S212</w:t>
      </w:r>
      <w:r>
        <w:rPr>
          <w:color w:val="000000" w:themeColor="text1"/>
          <w:sz w:val="20"/>
          <w:szCs w:val="20"/>
          <w:vertAlign w:val="superscript"/>
        </w:rPr>
        <w:t>A</w:t>
      </w:r>
      <w:r w:rsidRPr="00BD2D99">
        <w:rPr>
          <w:color w:val="000000" w:themeColor="text1"/>
          <w:sz w:val="20"/>
          <w:szCs w:val="20"/>
        </w:rPr>
        <w:t xml:space="preserve">, and the cell lysates were subjected to western </w:t>
      </w:r>
      <w:r w:rsidRPr="002F64AE">
        <w:rPr>
          <w:color w:val="000000" w:themeColor="text1"/>
          <w:sz w:val="20"/>
          <w:szCs w:val="20"/>
        </w:rPr>
        <w:t>blotting using specific antibodies. (c) The TE1 cells stably overexpressing STK3 were transfected with siRNA-FOXO1#1 or pVL2-CMV-FOXO1</w:t>
      </w:r>
      <w:r w:rsidRPr="002F64AE">
        <w:rPr>
          <w:color w:val="000000" w:themeColor="text1"/>
          <w:sz w:val="20"/>
          <w:szCs w:val="20"/>
          <w:vertAlign w:val="superscript"/>
        </w:rPr>
        <w:t>S212A</w:t>
      </w:r>
      <w:r w:rsidRPr="002F64AE">
        <w:rPr>
          <w:color w:val="000000" w:themeColor="text1"/>
          <w:sz w:val="20"/>
          <w:szCs w:val="20"/>
        </w:rPr>
        <w:t xml:space="preserve"> cultivated in 10 cm plates cell lysates were subjected to immunoprecipitation using an anti-FOXO1 antibody. The protein samples were then subjected to western blotting. (d-e) The ECA109 cells were transfected by siRNA specific to FOXO1. The knockdown efficiency was evaluated by western blotting and Q-PCR. The cell viability and migration were examined by CCK8 assay and </w:t>
      </w:r>
      <w:proofErr w:type="spellStart"/>
      <w:r w:rsidRPr="002F64AE">
        <w:rPr>
          <w:color w:val="000000" w:themeColor="text1"/>
          <w:sz w:val="20"/>
          <w:szCs w:val="20"/>
        </w:rPr>
        <w:t>transwell</w:t>
      </w:r>
      <w:proofErr w:type="spellEnd"/>
      <w:r w:rsidRPr="002F64AE">
        <w:rPr>
          <w:color w:val="000000" w:themeColor="text1"/>
          <w:sz w:val="20"/>
          <w:szCs w:val="20"/>
        </w:rPr>
        <w:t xml:space="preserve"> assay (* p &lt; 0.05, ** p &lt; 0.01, *** p &lt; 0.001.).</w:t>
      </w:r>
    </w:p>
    <w:p w:rsidR="008877A6" w:rsidRDefault="008877A6"/>
    <w:sectPr w:rsidR="008877A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angSong">
    <w:altName w:val="仿宋"/>
    <w:panose1 w:val="02010609060101010101"/>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357"/>
    <w:rsid w:val="00024B1D"/>
    <w:rsid w:val="000429C0"/>
    <w:rsid w:val="00050765"/>
    <w:rsid w:val="00064175"/>
    <w:rsid w:val="00074E9F"/>
    <w:rsid w:val="00082ED1"/>
    <w:rsid w:val="00083E01"/>
    <w:rsid w:val="00097954"/>
    <w:rsid w:val="000B46CD"/>
    <w:rsid w:val="000B65A8"/>
    <w:rsid w:val="000C7409"/>
    <w:rsid w:val="00103334"/>
    <w:rsid w:val="0010554E"/>
    <w:rsid w:val="00110368"/>
    <w:rsid w:val="00117641"/>
    <w:rsid w:val="00122BDA"/>
    <w:rsid w:val="0012765A"/>
    <w:rsid w:val="001304D9"/>
    <w:rsid w:val="00142F94"/>
    <w:rsid w:val="0015159E"/>
    <w:rsid w:val="001758FD"/>
    <w:rsid w:val="00180C35"/>
    <w:rsid w:val="001E1E2F"/>
    <w:rsid w:val="001E2190"/>
    <w:rsid w:val="001F54CA"/>
    <w:rsid w:val="00203103"/>
    <w:rsid w:val="002238C5"/>
    <w:rsid w:val="00223E8B"/>
    <w:rsid w:val="00224777"/>
    <w:rsid w:val="0026158B"/>
    <w:rsid w:val="0029781D"/>
    <w:rsid w:val="002A7805"/>
    <w:rsid w:val="002B4339"/>
    <w:rsid w:val="002B7EB2"/>
    <w:rsid w:val="002C03C9"/>
    <w:rsid w:val="002C369A"/>
    <w:rsid w:val="002C7E6B"/>
    <w:rsid w:val="002E338C"/>
    <w:rsid w:val="002F18EB"/>
    <w:rsid w:val="002F52FA"/>
    <w:rsid w:val="00310CCD"/>
    <w:rsid w:val="00312087"/>
    <w:rsid w:val="00322142"/>
    <w:rsid w:val="00327E59"/>
    <w:rsid w:val="003339E2"/>
    <w:rsid w:val="00335F38"/>
    <w:rsid w:val="00352445"/>
    <w:rsid w:val="003573F2"/>
    <w:rsid w:val="00362D23"/>
    <w:rsid w:val="00366FDC"/>
    <w:rsid w:val="003932F2"/>
    <w:rsid w:val="00394D87"/>
    <w:rsid w:val="003A1983"/>
    <w:rsid w:val="003A22CC"/>
    <w:rsid w:val="003B6393"/>
    <w:rsid w:val="003C0502"/>
    <w:rsid w:val="003C11AA"/>
    <w:rsid w:val="003C2414"/>
    <w:rsid w:val="003E1E42"/>
    <w:rsid w:val="0040744E"/>
    <w:rsid w:val="00407C75"/>
    <w:rsid w:val="004229E1"/>
    <w:rsid w:val="0045426E"/>
    <w:rsid w:val="004662DD"/>
    <w:rsid w:val="004845C5"/>
    <w:rsid w:val="004B04C3"/>
    <w:rsid w:val="004B5CD1"/>
    <w:rsid w:val="004B7C25"/>
    <w:rsid w:val="004D2576"/>
    <w:rsid w:val="004D389F"/>
    <w:rsid w:val="004D5EC1"/>
    <w:rsid w:val="00505C02"/>
    <w:rsid w:val="00507CE2"/>
    <w:rsid w:val="00514123"/>
    <w:rsid w:val="00534805"/>
    <w:rsid w:val="00534B56"/>
    <w:rsid w:val="00553771"/>
    <w:rsid w:val="00555E04"/>
    <w:rsid w:val="00564357"/>
    <w:rsid w:val="005929AE"/>
    <w:rsid w:val="005C05D6"/>
    <w:rsid w:val="005C0FA8"/>
    <w:rsid w:val="005C781C"/>
    <w:rsid w:val="005F2534"/>
    <w:rsid w:val="006247A6"/>
    <w:rsid w:val="00635BE6"/>
    <w:rsid w:val="006455B8"/>
    <w:rsid w:val="00650188"/>
    <w:rsid w:val="006535A5"/>
    <w:rsid w:val="006553DF"/>
    <w:rsid w:val="0068245D"/>
    <w:rsid w:val="006C0538"/>
    <w:rsid w:val="006C323F"/>
    <w:rsid w:val="006D66A8"/>
    <w:rsid w:val="006F054F"/>
    <w:rsid w:val="006F7019"/>
    <w:rsid w:val="00717DA4"/>
    <w:rsid w:val="00722860"/>
    <w:rsid w:val="00722BDE"/>
    <w:rsid w:val="00725590"/>
    <w:rsid w:val="007438D3"/>
    <w:rsid w:val="00771EF3"/>
    <w:rsid w:val="00785E2D"/>
    <w:rsid w:val="007A5D03"/>
    <w:rsid w:val="007F57DD"/>
    <w:rsid w:val="00801E66"/>
    <w:rsid w:val="00813748"/>
    <w:rsid w:val="00817D1F"/>
    <w:rsid w:val="008330FF"/>
    <w:rsid w:val="00841E20"/>
    <w:rsid w:val="00867FDF"/>
    <w:rsid w:val="00870B40"/>
    <w:rsid w:val="008718D5"/>
    <w:rsid w:val="008877A6"/>
    <w:rsid w:val="008C109F"/>
    <w:rsid w:val="008C229F"/>
    <w:rsid w:val="008E7A6F"/>
    <w:rsid w:val="008F0551"/>
    <w:rsid w:val="008F2865"/>
    <w:rsid w:val="0090324C"/>
    <w:rsid w:val="009074C5"/>
    <w:rsid w:val="00930AAC"/>
    <w:rsid w:val="00953BE0"/>
    <w:rsid w:val="00980AAC"/>
    <w:rsid w:val="009A2277"/>
    <w:rsid w:val="009B401A"/>
    <w:rsid w:val="009D4272"/>
    <w:rsid w:val="009E0285"/>
    <w:rsid w:val="009E218E"/>
    <w:rsid w:val="009F3FC8"/>
    <w:rsid w:val="009F6442"/>
    <w:rsid w:val="00A07094"/>
    <w:rsid w:val="00A25E9D"/>
    <w:rsid w:val="00A30FA3"/>
    <w:rsid w:val="00A569F0"/>
    <w:rsid w:val="00A76E4A"/>
    <w:rsid w:val="00A805A5"/>
    <w:rsid w:val="00A90D44"/>
    <w:rsid w:val="00A969EA"/>
    <w:rsid w:val="00AF4E1E"/>
    <w:rsid w:val="00B11C65"/>
    <w:rsid w:val="00B278E1"/>
    <w:rsid w:val="00B64DC4"/>
    <w:rsid w:val="00B71E64"/>
    <w:rsid w:val="00B803DD"/>
    <w:rsid w:val="00B82E9F"/>
    <w:rsid w:val="00BA2B69"/>
    <w:rsid w:val="00BA7B64"/>
    <w:rsid w:val="00BC7264"/>
    <w:rsid w:val="00C27CF0"/>
    <w:rsid w:val="00C427C2"/>
    <w:rsid w:val="00C47945"/>
    <w:rsid w:val="00C522F1"/>
    <w:rsid w:val="00C7024D"/>
    <w:rsid w:val="00C96961"/>
    <w:rsid w:val="00CB697E"/>
    <w:rsid w:val="00CD62C8"/>
    <w:rsid w:val="00CE5BF2"/>
    <w:rsid w:val="00CF4528"/>
    <w:rsid w:val="00D1054A"/>
    <w:rsid w:val="00DC53D9"/>
    <w:rsid w:val="00E03C43"/>
    <w:rsid w:val="00E1152A"/>
    <w:rsid w:val="00E22E90"/>
    <w:rsid w:val="00E25D4D"/>
    <w:rsid w:val="00E42D90"/>
    <w:rsid w:val="00E42F3A"/>
    <w:rsid w:val="00E552C0"/>
    <w:rsid w:val="00E6047D"/>
    <w:rsid w:val="00E83C85"/>
    <w:rsid w:val="00E8715E"/>
    <w:rsid w:val="00EA7B5E"/>
    <w:rsid w:val="00EB00D9"/>
    <w:rsid w:val="00EB5DAD"/>
    <w:rsid w:val="00EF19D5"/>
    <w:rsid w:val="00F571A8"/>
    <w:rsid w:val="00FA48AA"/>
    <w:rsid w:val="00FC79BB"/>
    <w:rsid w:val="00FD009D"/>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53C254C"/>
  <w15:chartTrackingRefBased/>
  <w15:docId w15:val="{A8A1E67C-7643-4A48-9BD5-03FBF0BFA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N"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357"/>
    <w:rPr>
      <w:rFonts w:ascii="Times New Roman" w:eastAsia="Times New Roman" w:hAnsi="Times New Roman"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564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eastAsia="SimSun" w:hAnsi="SimSun" w:cs="SimSun"/>
    </w:rPr>
  </w:style>
  <w:style w:type="character" w:customStyle="1" w:styleId="HTMLPreformattedChar">
    <w:name w:val="HTML Preformatted Char"/>
    <w:basedOn w:val="DefaultParagraphFont"/>
    <w:link w:val="HTMLPreformatted"/>
    <w:uiPriority w:val="99"/>
    <w:rsid w:val="00564357"/>
    <w:rPr>
      <w:rFonts w:ascii="SimSun" w:eastAsia="SimSun" w:hAnsi="SimSun" w:cs="SimSun"/>
      <w:kern w:val="0"/>
      <w:lang w:val="en-US"/>
      <w14:ligatures w14:val="none"/>
    </w:rPr>
  </w:style>
  <w:style w:type="table" w:styleId="TableGrid">
    <w:name w:val="Table Grid"/>
    <w:basedOn w:val="TableNormal"/>
    <w:uiPriority w:val="39"/>
    <w:rsid w:val="00564357"/>
    <w:rPr>
      <w:sz w:val="21"/>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564357"/>
    <w:pPr>
      <w:widowControl w:val="0"/>
      <w:snapToGrid w:val="0"/>
    </w:pPr>
    <w:rPr>
      <w:rFonts w:asciiTheme="minorHAnsi" w:eastAsiaTheme="minorEastAsia" w:hAnsiTheme="minorHAnsi" w:cstheme="minorBidi"/>
      <w:kern w:val="2"/>
      <w:sz w:val="21"/>
    </w:rPr>
  </w:style>
  <w:style w:type="character" w:customStyle="1" w:styleId="EndnoteTextChar">
    <w:name w:val="Endnote Text Char"/>
    <w:basedOn w:val="DefaultParagraphFont"/>
    <w:link w:val="EndnoteText"/>
    <w:uiPriority w:val="99"/>
    <w:semiHidden/>
    <w:rsid w:val="00564357"/>
    <w:rPr>
      <w:sz w:val="21"/>
      <w:lang w:val="en-US"/>
      <w14:ligatures w14:val="none"/>
    </w:rPr>
  </w:style>
  <w:style w:type="character" w:styleId="Hyperlink">
    <w:name w:val="Hyperlink"/>
    <w:basedOn w:val="DefaultParagraphFont"/>
    <w:uiPriority w:val="99"/>
    <w:unhideWhenUsed/>
    <w:rsid w:val="005643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1800512@tongji.edu.cn" TargetMode="External"/><Relationship Id="rId10" Type="http://schemas.openxmlformats.org/officeDocument/2006/relationships/fontTable" Target="fontTable.xml"/><Relationship Id="rId4" Type="http://schemas.openxmlformats.org/officeDocument/2006/relationships/hyperlink" Target="mailto:chentao@tongji.edu.cn" TargetMode="External"/><Relationship Id="rId9" Type="http://schemas.openxmlformats.org/officeDocument/2006/relationships/hyperlink" Target="https://www.phosphosite.org/homeAction.a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613</Words>
  <Characters>3497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2023-05-27T07:18:00Z</dcterms:created>
  <dcterms:modified xsi:type="dcterms:W3CDTF">2023-06-13T13:29:00Z</dcterms:modified>
</cp:coreProperties>
</file>