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8FC9E" w14:textId="3B5EE3D0" w:rsidR="00AA053D" w:rsidRPr="004A5DED" w:rsidRDefault="004A5DED">
      <w:pPr>
        <w:spacing w:line="360" w:lineRule="auto"/>
        <w:jc w:val="left"/>
        <w:rPr>
          <w:rFonts w:ascii="Arial" w:eastAsia="Arial" w:hAnsi="Arial" w:cs="Arial"/>
          <w:color w:val="595959"/>
          <w:sz w:val="22"/>
        </w:rPr>
      </w:pPr>
      <w:r w:rsidRPr="004A5DED">
        <w:rPr>
          <w:rFonts w:ascii="Times New Roman" w:hAnsi="Times New Roman" w:cs="Times New Roman"/>
          <w:sz w:val="24"/>
          <w:szCs w:val="24"/>
        </w:rPr>
        <w:t>Supplement figure: missing pattern of the variables. The pink cells represent missingness.</w:t>
      </w:r>
      <w:r w:rsidRPr="004A5DED">
        <w:rPr>
          <w:rFonts w:ascii="Arial" w:eastAsia="Arial" w:hAnsi="Arial" w:cs="Arial"/>
          <w:color w:val="595959"/>
          <w:sz w:val="24"/>
          <w:szCs w:val="24"/>
        </w:rPr>
        <w:t xml:space="preserve"> </w:t>
      </w:r>
      <w:r w:rsidRPr="004A5DED">
        <w:rPr>
          <w:rFonts w:ascii="Times New Roman" w:hAnsi="Times New Roman" w:cs="Times New Roman"/>
          <w:i/>
          <w:iCs/>
          <w:sz w:val="22"/>
        </w:rPr>
        <w:t xml:space="preserve">WBC, white blood cell count; PLT: platelet count; </w:t>
      </w:r>
      <w:r>
        <w:rPr>
          <w:rFonts w:ascii="Times New Roman" w:hAnsi="Times New Roman" w:cs="Times New Roman"/>
          <w:i/>
          <w:iCs/>
          <w:sz w:val="22"/>
        </w:rPr>
        <w:t xml:space="preserve">Hb, hemoglobin; </w:t>
      </w:r>
      <w:proofErr w:type="spellStart"/>
      <w:r w:rsidRPr="004A5DED">
        <w:rPr>
          <w:rFonts w:ascii="Times New Roman" w:hAnsi="Times New Roman" w:cs="Times New Roman"/>
          <w:i/>
          <w:iCs/>
          <w:sz w:val="22"/>
        </w:rPr>
        <w:t>Lym</w:t>
      </w:r>
      <w:proofErr w:type="spellEnd"/>
      <w:r w:rsidRPr="004A5DED">
        <w:rPr>
          <w:rFonts w:ascii="Times New Roman" w:hAnsi="Times New Roman" w:cs="Times New Roman"/>
          <w:i/>
          <w:iCs/>
          <w:sz w:val="22"/>
        </w:rPr>
        <w:t>, lymphocyte count;</w:t>
      </w:r>
      <w:r w:rsidR="00320968" w:rsidRPr="00320968">
        <w:rPr>
          <w:rFonts w:ascii="Times New Roman" w:hAnsi="Times New Roman" w:cs="Times New Roman"/>
          <w:i/>
          <w:iCs/>
          <w:sz w:val="22"/>
        </w:rPr>
        <w:t xml:space="preserve"> </w:t>
      </w:r>
      <w:r w:rsidR="00320968">
        <w:rPr>
          <w:rFonts w:ascii="Times New Roman" w:hAnsi="Times New Roman" w:cs="Times New Roman"/>
          <w:i/>
          <w:iCs/>
          <w:sz w:val="22"/>
        </w:rPr>
        <w:t>M</w:t>
      </w:r>
      <w:r w:rsidR="00320968">
        <w:rPr>
          <w:rFonts w:ascii="Times New Roman" w:hAnsi="Times New Roman" w:cs="Times New Roman"/>
          <w:i/>
          <w:iCs/>
          <w:sz w:val="22"/>
        </w:rPr>
        <w:t>ono, monocyte count;</w:t>
      </w:r>
      <w:r w:rsidRPr="004A5DED">
        <w:rPr>
          <w:rFonts w:ascii="Times New Roman" w:hAnsi="Times New Roman" w:cs="Times New Roman"/>
          <w:i/>
          <w:iCs/>
          <w:sz w:val="22"/>
        </w:rPr>
        <w:t xml:space="preserve"> Eos, eosinophil count;</w:t>
      </w:r>
      <w:r>
        <w:rPr>
          <w:rFonts w:ascii="Times New Roman" w:hAnsi="Times New Roman" w:cs="Times New Roman"/>
          <w:i/>
          <w:iCs/>
          <w:sz w:val="22"/>
        </w:rPr>
        <w:t xml:space="preserve"> Bas, basophil count; </w:t>
      </w:r>
      <w:r w:rsidRPr="004A5DED">
        <w:rPr>
          <w:rFonts w:ascii="Times New Roman" w:hAnsi="Times New Roman" w:cs="Times New Roman"/>
          <w:i/>
          <w:iCs/>
          <w:sz w:val="22"/>
        </w:rPr>
        <w:t xml:space="preserve"> P.L, </w:t>
      </w:r>
      <w:r w:rsidRPr="004A5DED">
        <w:rPr>
          <w:rFonts w:ascii="Times" w:hAnsi="Times"/>
          <w:i/>
          <w:iCs/>
          <w:sz w:val="22"/>
        </w:rPr>
        <w:t>platelet-to-lymphocyte ratio; N.L, neutrophil-to-lymphocyte ratio;</w:t>
      </w:r>
      <w:r w:rsidR="00320968">
        <w:rPr>
          <w:rFonts w:ascii="Times" w:hAnsi="Times"/>
          <w:i/>
          <w:iCs/>
          <w:sz w:val="22"/>
        </w:rPr>
        <w:t xml:space="preserve"> </w:t>
      </w:r>
      <w:r w:rsidR="00320968">
        <w:rPr>
          <w:rFonts w:ascii="Times" w:hAnsi="Times"/>
          <w:i/>
          <w:iCs/>
          <w:sz w:val="22"/>
        </w:rPr>
        <w:t>M</w:t>
      </w:r>
      <w:r w:rsidR="00320968">
        <w:rPr>
          <w:rFonts w:ascii="Times" w:hAnsi="Times"/>
          <w:i/>
          <w:iCs/>
          <w:sz w:val="22"/>
        </w:rPr>
        <w:t>.</w:t>
      </w:r>
      <w:r w:rsidR="00320968" w:rsidRPr="004A5DED">
        <w:rPr>
          <w:rFonts w:ascii="Times" w:hAnsi="Times"/>
          <w:i/>
          <w:iCs/>
          <w:sz w:val="22"/>
        </w:rPr>
        <w:t>L</w:t>
      </w:r>
      <w:r w:rsidR="00320968">
        <w:rPr>
          <w:rFonts w:ascii="Times" w:hAnsi="Times"/>
          <w:i/>
          <w:iCs/>
          <w:sz w:val="22"/>
        </w:rPr>
        <w:t>,</w:t>
      </w:r>
      <w:r w:rsidR="00320968" w:rsidRPr="00C37D64">
        <w:rPr>
          <w:rFonts w:ascii="Times" w:hAnsi="Times"/>
          <w:i/>
          <w:iCs/>
          <w:sz w:val="22"/>
        </w:rPr>
        <w:t xml:space="preserve"> </w:t>
      </w:r>
      <w:r w:rsidR="00320968">
        <w:rPr>
          <w:rFonts w:ascii="Times New Roman" w:hAnsi="Times New Roman" w:cs="Times New Roman"/>
          <w:i/>
          <w:iCs/>
          <w:sz w:val="22"/>
        </w:rPr>
        <w:t>monocyte</w:t>
      </w:r>
      <w:r w:rsidR="00320968" w:rsidRPr="004A5DED">
        <w:rPr>
          <w:rFonts w:ascii="Times" w:hAnsi="Times"/>
          <w:i/>
          <w:iCs/>
          <w:sz w:val="22"/>
        </w:rPr>
        <w:t xml:space="preserve"> -to-lymphocyte ratio; </w:t>
      </w:r>
      <w:r w:rsidRPr="004A5DED">
        <w:rPr>
          <w:rFonts w:ascii="Times" w:hAnsi="Times"/>
          <w:i/>
          <w:iCs/>
          <w:sz w:val="22"/>
        </w:rPr>
        <w:t xml:space="preserve"> E.L, </w:t>
      </w:r>
      <w:r w:rsidRPr="004A5DED">
        <w:rPr>
          <w:rFonts w:ascii="Times New Roman" w:hAnsi="Times New Roman" w:cs="Times New Roman"/>
          <w:i/>
          <w:iCs/>
          <w:sz w:val="22"/>
        </w:rPr>
        <w:t>eosinophil</w:t>
      </w:r>
      <w:r w:rsidRPr="004A5DED">
        <w:rPr>
          <w:rFonts w:ascii="Times" w:hAnsi="Times"/>
          <w:i/>
          <w:iCs/>
          <w:sz w:val="22"/>
        </w:rPr>
        <w:t xml:space="preserve">-to-lymphocyte ratio; </w:t>
      </w:r>
      <w:r>
        <w:rPr>
          <w:rFonts w:ascii="Times" w:hAnsi="Times"/>
          <w:i/>
          <w:iCs/>
          <w:sz w:val="22"/>
        </w:rPr>
        <w:t>B.L:</w:t>
      </w:r>
      <w:r w:rsidRPr="004A5DED">
        <w:rPr>
          <w:rFonts w:ascii="Times New Roman" w:hAnsi="Times New Roman" w:cs="Times New Roman"/>
          <w:i/>
          <w:iCs/>
          <w:sz w:val="22"/>
        </w:rPr>
        <w:t xml:space="preserve"> </w:t>
      </w:r>
      <w:r>
        <w:rPr>
          <w:rFonts w:ascii="Times New Roman" w:hAnsi="Times New Roman" w:cs="Times New Roman"/>
          <w:i/>
          <w:iCs/>
          <w:sz w:val="22"/>
        </w:rPr>
        <w:t>basophil</w:t>
      </w:r>
      <w:r w:rsidRPr="004A5DED">
        <w:rPr>
          <w:rFonts w:ascii="Times New Roman" w:hAnsi="Times New Roman" w:cs="Times New Roman"/>
          <w:i/>
          <w:iCs/>
          <w:sz w:val="22"/>
        </w:rPr>
        <w:t xml:space="preserve"> </w:t>
      </w:r>
      <w:r w:rsidRPr="004A5DED">
        <w:rPr>
          <w:rFonts w:ascii="Times" w:hAnsi="Times"/>
          <w:i/>
          <w:iCs/>
          <w:sz w:val="22"/>
        </w:rPr>
        <w:t>-to-lymphocyte ratio</w:t>
      </w:r>
      <w:r>
        <w:rPr>
          <w:rFonts w:ascii="Times" w:hAnsi="Times"/>
          <w:i/>
          <w:iCs/>
          <w:sz w:val="22"/>
        </w:rPr>
        <w:t xml:space="preserve"> </w:t>
      </w:r>
      <w:r w:rsidRPr="004A5DED">
        <w:rPr>
          <w:rFonts w:ascii="Times" w:hAnsi="Times"/>
          <w:i/>
          <w:iCs/>
          <w:sz w:val="22"/>
        </w:rPr>
        <w:t>FT3, free triiodothyronine;</w:t>
      </w:r>
      <w:r>
        <w:rPr>
          <w:rFonts w:ascii="Times" w:hAnsi="Times"/>
          <w:i/>
          <w:iCs/>
          <w:sz w:val="22"/>
        </w:rPr>
        <w:t xml:space="preserve"> FT4,</w:t>
      </w:r>
      <w:r w:rsidRPr="004A5DED">
        <w:rPr>
          <w:rFonts w:ascii="Times" w:hAnsi="Times"/>
          <w:i/>
          <w:iCs/>
          <w:sz w:val="22"/>
        </w:rPr>
        <w:t xml:space="preserve"> free thyroxin</w:t>
      </w:r>
      <w:r w:rsidR="00643477">
        <w:rPr>
          <w:rFonts w:ascii="Times" w:hAnsi="Times"/>
          <w:i/>
          <w:iCs/>
          <w:sz w:val="22"/>
        </w:rPr>
        <w:t>;</w:t>
      </w:r>
      <w:r w:rsidRPr="004A5DED">
        <w:rPr>
          <w:rFonts w:ascii="Times" w:hAnsi="Times"/>
          <w:i/>
          <w:iCs/>
          <w:sz w:val="22"/>
        </w:rPr>
        <w:t xml:space="preserve"> FT3.FT4, free triiodothyronine-to-free thyroxine ratio; TSH, thyroid stimulating hormone;</w:t>
      </w:r>
      <w:r w:rsidR="00643477">
        <w:rPr>
          <w:rFonts w:ascii="Times" w:hAnsi="Times"/>
          <w:i/>
          <w:iCs/>
          <w:sz w:val="22"/>
        </w:rPr>
        <w:t xml:space="preserve"> HDL, high</w:t>
      </w:r>
      <w:r w:rsidR="00643477" w:rsidRPr="004A5DED">
        <w:rPr>
          <w:rFonts w:ascii="Times" w:hAnsi="Times"/>
          <w:i/>
          <w:iCs/>
          <w:sz w:val="22"/>
        </w:rPr>
        <w:t xml:space="preserve"> density lipoprotein cholesterol</w:t>
      </w:r>
      <w:r w:rsidR="00643477">
        <w:rPr>
          <w:rFonts w:ascii="Times" w:hAnsi="Times"/>
          <w:i/>
          <w:iCs/>
          <w:sz w:val="22"/>
        </w:rPr>
        <w:t>;</w:t>
      </w:r>
      <w:r w:rsidRPr="004A5DED">
        <w:rPr>
          <w:rFonts w:ascii="Times" w:hAnsi="Times"/>
          <w:i/>
          <w:iCs/>
          <w:sz w:val="22"/>
        </w:rPr>
        <w:t xml:space="preserve"> </w:t>
      </w:r>
      <w:r w:rsidR="00643477" w:rsidRPr="004A5DED">
        <w:rPr>
          <w:rFonts w:ascii="Times" w:hAnsi="Times"/>
          <w:i/>
          <w:iCs/>
          <w:sz w:val="22"/>
        </w:rPr>
        <w:t>LDL, low density lipoprotein cholesterol; TC, total cholesterol;</w:t>
      </w:r>
      <w:r w:rsidR="00643477">
        <w:rPr>
          <w:rFonts w:ascii="Times" w:hAnsi="Times"/>
          <w:i/>
          <w:iCs/>
          <w:sz w:val="22"/>
        </w:rPr>
        <w:t xml:space="preserve"> TG, triglyceride; AST, </w:t>
      </w:r>
      <w:r w:rsidR="00643477">
        <w:rPr>
          <w:rFonts w:ascii="Times" w:hAnsi="Times" w:hint="eastAsia"/>
          <w:i/>
          <w:iCs/>
          <w:sz w:val="22"/>
        </w:rPr>
        <w:t>aspartate</w:t>
      </w:r>
      <w:r w:rsidR="00643477">
        <w:rPr>
          <w:rFonts w:ascii="Times" w:hAnsi="Times"/>
          <w:i/>
          <w:iCs/>
          <w:sz w:val="22"/>
        </w:rPr>
        <w:t xml:space="preserve"> transaminase; </w:t>
      </w:r>
      <w:r w:rsidR="00643477" w:rsidRPr="004A5DED">
        <w:rPr>
          <w:rFonts w:ascii="Times" w:hAnsi="Times"/>
          <w:i/>
          <w:iCs/>
          <w:sz w:val="22"/>
        </w:rPr>
        <w:t>UA, uric acid;</w:t>
      </w:r>
      <w:r w:rsidR="00643477">
        <w:rPr>
          <w:rFonts w:ascii="Times" w:hAnsi="Times"/>
          <w:i/>
          <w:iCs/>
          <w:sz w:val="22"/>
        </w:rPr>
        <w:t xml:space="preserve"> </w:t>
      </w:r>
      <w:proofErr w:type="spellStart"/>
      <w:r w:rsidR="00643477">
        <w:rPr>
          <w:rFonts w:ascii="Times" w:hAnsi="Times"/>
          <w:i/>
          <w:iCs/>
          <w:sz w:val="22"/>
        </w:rPr>
        <w:t>sCr</w:t>
      </w:r>
      <w:proofErr w:type="spellEnd"/>
      <w:r w:rsidR="00643477">
        <w:rPr>
          <w:rFonts w:ascii="Times" w:hAnsi="Times"/>
          <w:i/>
          <w:iCs/>
          <w:sz w:val="22"/>
        </w:rPr>
        <w:t xml:space="preserve">: serum creatinine; UREA, urea; LDH, lactate </w:t>
      </w:r>
      <w:r w:rsidR="00395332">
        <w:rPr>
          <w:rFonts w:ascii="Times" w:hAnsi="Times"/>
          <w:i/>
          <w:iCs/>
          <w:sz w:val="22"/>
        </w:rPr>
        <w:t xml:space="preserve">dehydrogenase; </w:t>
      </w:r>
      <w:r w:rsidR="00395332" w:rsidRPr="004A5DED">
        <w:rPr>
          <w:rFonts w:ascii="Times" w:hAnsi="Times"/>
          <w:i/>
          <w:iCs/>
          <w:sz w:val="22"/>
        </w:rPr>
        <w:t>ALT, alanine transaminase; ALB, albumin</w:t>
      </w:r>
      <w:r w:rsidR="00395332">
        <w:rPr>
          <w:rFonts w:ascii="Times" w:hAnsi="Times"/>
          <w:i/>
          <w:iCs/>
          <w:sz w:val="22"/>
        </w:rPr>
        <w:t xml:space="preserve">; GLOB, globulin; A.G, </w:t>
      </w:r>
      <w:r w:rsidR="00395332" w:rsidRPr="004A5DED">
        <w:rPr>
          <w:rFonts w:ascii="Times" w:hAnsi="Times"/>
          <w:i/>
          <w:iCs/>
          <w:sz w:val="22"/>
        </w:rPr>
        <w:t>albumin-to-</w:t>
      </w:r>
      <w:r w:rsidR="00395332">
        <w:rPr>
          <w:rFonts w:ascii="Times" w:hAnsi="Times"/>
          <w:i/>
          <w:iCs/>
          <w:sz w:val="22"/>
        </w:rPr>
        <w:t>globulin</w:t>
      </w:r>
      <w:r w:rsidR="00395332" w:rsidRPr="004A5DED">
        <w:rPr>
          <w:rFonts w:ascii="Times" w:hAnsi="Times"/>
          <w:i/>
          <w:iCs/>
          <w:sz w:val="22"/>
        </w:rPr>
        <w:t xml:space="preserve"> rati</w:t>
      </w:r>
      <w:r w:rsidR="00395332">
        <w:rPr>
          <w:rFonts w:ascii="Times" w:hAnsi="Times"/>
          <w:i/>
          <w:iCs/>
          <w:sz w:val="22"/>
        </w:rPr>
        <w:t>o;</w:t>
      </w:r>
      <w:r w:rsidR="00395332" w:rsidRPr="004A5DED">
        <w:rPr>
          <w:rFonts w:ascii="Times" w:hAnsi="Times"/>
          <w:i/>
          <w:iCs/>
          <w:sz w:val="22"/>
        </w:rPr>
        <w:t xml:space="preserve"> PRL, prolactin;</w:t>
      </w:r>
      <w:r w:rsidR="00395332">
        <w:rPr>
          <w:rFonts w:ascii="Times" w:hAnsi="Times"/>
          <w:i/>
          <w:iCs/>
          <w:sz w:val="22"/>
        </w:rPr>
        <w:t xml:space="preserve"> </w:t>
      </w:r>
      <w:r w:rsidRPr="004A5DED">
        <w:rPr>
          <w:rFonts w:ascii="Times" w:hAnsi="Times"/>
          <w:i/>
          <w:iCs/>
          <w:sz w:val="22"/>
        </w:rPr>
        <w:t xml:space="preserve">FSH, follicle stimulating hormone; </w:t>
      </w:r>
      <w:r w:rsidR="00395332">
        <w:rPr>
          <w:rFonts w:ascii="Times" w:hAnsi="Times"/>
          <w:i/>
          <w:iCs/>
          <w:sz w:val="22"/>
        </w:rPr>
        <w:t xml:space="preserve">LH, luteinizing hormone; </w:t>
      </w:r>
      <w:proofErr w:type="spellStart"/>
      <w:r w:rsidR="00395332">
        <w:rPr>
          <w:rFonts w:ascii="Times" w:hAnsi="Times"/>
          <w:i/>
          <w:iCs/>
          <w:sz w:val="22"/>
        </w:rPr>
        <w:t>ApoE</w:t>
      </w:r>
      <w:proofErr w:type="spellEnd"/>
      <w:r w:rsidR="00395332">
        <w:rPr>
          <w:rFonts w:ascii="Times" w:hAnsi="Times"/>
          <w:i/>
          <w:iCs/>
          <w:sz w:val="22"/>
        </w:rPr>
        <w:t xml:space="preserve">, apolipoprotein E; T, testosterone; CRP, C-reactive protein; RF, rheumatoid factors; ASO, </w:t>
      </w:r>
      <w:proofErr w:type="spellStart"/>
      <w:r w:rsidR="00395332">
        <w:rPr>
          <w:rFonts w:ascii="Times" w:hAnsi="Times"/>
          <w:i/>
          <w:iCs/>
          <w:sz w:val="22"/>
        </w:rPr>
        <w:t>antistreptolysin</w:t>
      </w:r>
      <w:proofErr w:type="spellEnd"/>
      <w:r w:rsidR="00395332">
        <w:rPr>
          <w:rFonts w:ascii="Times" w:hAnsi="Times"/>
          <w:i/>
          <w:iCs/>
          <w:sz w:val="22"/>
        </w:rPr>
        <w:t xml:space="preserve">; </w:t>
      </w:r>
      <w:r w:rsidRPr="004A5DED">
        <w:rPr>
          <w:rFonts w:ascii="Times" w:hAnsi="Times"/>
          <w:i/>
          <w:iCs/>
          <w:sz w:val="22"/>
        </w:rPr>
        <w:t xml:space="preserve">E2, estradiol; </w:t>
      </w:r>
      <w:r w:rsidR="00395332">
        <w:rPr>
          <w:rFonts w:ascii="Times" w:hAnsi="Times"/>
          <w:i/>
          <w:iCs/>
          <w:sz w:val="22"/>
        </w:rPr>
        <w:t xml:space="preserve">C3, complement C3; C4, complement C4; IgM, immunoglobulin M; </w:t>
      </w:r>
      <w:r w:rsidRPr="004A5DED">
        <w:rPr>
          <w:rFonts w:ascii="Times" w:hAnsi="Times"/>
          <w:i/>
          <w:iCs/>
          <w:sz w:val="22"/>
        </w:rPr>
        <w:t>IgA, immunoglobulin A;</w:t>
      </w:r>
      <w:r w:rsidR="00395332">
        <w:rPr>
          <w:rFonts w:ascii="Times" w:hAnsi="Times"/>
          <w:i/>
          <w:iCs/>
          <w:sz w:val="22"/>
        </w:rPr>
        <w:t xml:space="preserve"> IgG,  immunoglobulin G</w:t>
      </w:r>
      <w:r w:rsidRPr="004A5DED">
        <w:rPr>
          <w:rFonts w:ascii="Times" w:hAnsi="Times"/>
          <w:i/>
          <w:iCs/>
          <w:sz w:val="22"/>
        </w:rPr>
        <w:t>.</w:t>
      </w:r>
    </w:p>
    <w:sectPr w:rsidR="00AA053D" w:rsidRPr="004A5DED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544EA" w14:textId="77777777" w:rsidR="00EB462C" w:rsidRDefault="00EB462C">
      <w:r>
        <w:separator/>
      </w:r>
    </w:p>
  </w:endnote>
  <w:endnote w:type="continuationSeparator" w:id="0">
    <w:p w14:paraId="7057B65A" w14:textId="77777777" w:rsidR="00EB462C" w:rsidRDefault="00EB4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EA3A5" w14:textId="77777777" w:rsidR="00EB462C" w:rsidRDefault="00EB462C">
      <w:r>
        <w:separator/>
      </w:r>
    </w:p>
  </w:footnote>
  <w:footnote w:type="continuationSeparator" w:id="0">
    <w:p w14:paraId="0412DE91" w14:textId="77777777" w:rsidR="00EB462C" w:rsidRDefault="00EB46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5149B7"/>
    <w:multiLevelType w:val="hybridMultilevel"/>
    <w:tmpl w:val="6DCEFC7E"/>
    <w:lvl w:ilvl="0" w:tplc="3B581DC4">
      <w:start w:val="1"/>
      <w:numFmt w:val="bullet"/>
      <w:lvlText w:val="·"/>
      <w:lvlJc w:val="left"/>
      <w:pPr>
        <w:ind w:left="720" w:hanging="349"/>
      </w:pPr>
      <w:rPr>
        <w:rFonts w:ascii="Symbol" w:eastAsia="Symbol" w:hAnsi="Symbol" w:cs="Symbol"/>
      </w:rPr>
    </w:lvl>
    <w:lvl w:ilvl="1" w:tplc="285467DE">
      <w:start w:val="1"/>
      <w:numFmt w:val="bullet"/>
      <w:lvlText w:val="o"/>
      <w:lvlJc w:val="left"/>
      <w:pPr>
        <w:ind w:left="1440" w:hanging="349"/>
      </w:pPr>
      <w:rPr>
        <w:rFonts w:ascii="Courier New" w:eastAsia="Courier New" w:hAnsi="Courier New" w:cs="Courier New"/>
      </w:rPr>
    </w:lvl>
    <w:lvl w:ilvl="2" w:tplc="13FE649E">
      <w:start w:val="1"/>
      <w:numFmt w:val="bullet"/>
      <w:lvlText w:val="§"/>
      <w:lvlJc w:val="left"/>
      <w:pPr>
        <w:ind w:left="2160" w:hanging="349"/>
      </w:pPr>
      <w:rPr>
        <w:rFonts w:ascii="Wingdings" w:eastAsia="Wingdings" w:hAnsi="Wingdings" w:cs="Wingdings"/>
      </w:rPr>
    </w:lvl>
    <w:lvl w:ilvl="3" w:tplc="7714DD46">
      <w:start w:val="1"/>
      <w:numFmt w:val="bullet"/>
      <w:lvlText w:val="·"/>
      <w:lvlJc w:val="left"/>
      <w:pPr>
        <w:ind w:left="2880" w:hanging="349"/>
      </w:pPr>
      <w:rPr>
        <w:rFonts w:ascii="Symbol" w:eastAsia="Symbol" w:hAnsi="Symbol" w:cs="Symbol"/>
      </w:rPr>
    </w:lvl>
    <w:lvl w:ilvl="4" w:tplc="670254D8">
      <w:start w:val="1"/>
      <w:numFmt w:val="bullet"/>
      <w:lvlText w:val="o"/>
      <w:lvlJc w:val="left"/>
      <w:pPr>
        <w:ind w:left="3600" w:hanging="349"/>
      </w:pPr>
      <w:rPr>
        <w:rFonts w:ascii="Courier New" w:eastAsia="Courier New" w:hAnsi="Courier New" w:cs="Courier New"/>
      </w:rPr>
    </w:lvl>
    <w:lvl w:ilvl="5" w:tplc="584E3ADE">
      <w:start w:val="1"/>
      <w:numFmt w:val="bullet"/>
      <w:lvlText w:val="§"/>
      <w:lvlJc w:val="left"/>
      <w:pPr>
        <w:ind w:left="4320" w:hanging="349"/>
      </w:pPr>
      <w:rPr>
        <w:rFonts w:ascii="Wingdings" w:eastAsia="Wingdings" w:hAnsi="Wingdings" w:cs="Wingdings"/>
      </w:rPr>
    </w:lvl>
    <w:lvl w:ilvl="6" w:tplc="B23E8BF6">
      <w:start w:val="1"/>
      <w:numFmt w:val="bullet"/>
      <w:lvlText w:val="·"/>
      <w:lvlJc w:val="left"/>
      <w:pPr>
        <w:ind w:left="5040" w:hanging="349"/>
      </w:pPr>
      <w:rPr>
        <w:rFonts w:ascii="Symbol" w:eastAsia="Symbol" w:hAnsi="Symbol" w:cs="Symbol"/>
      </w:rPr>
    </w:lvl>
    <w:lvl w:ilvl="7" w:tplc="CBBEEC9A">
      <w:start w:val="1"/>
      <w:numFmt w:val="bullet"/>
      <w:lvlText w:val="o"/>
      <w:lvlJc w:val="left"/>
      <w:pPr>
        <w:ind w:left="5760" w:hanging="349"/>
      </w:pPr>
      <w:rPr>
        <w:rFonts w:ascii="Courier New" w:eastAsia="Courier New" w:hAnsi="Courier New" w:cs="Courier New"/>
      </w:rPr>
    </w:lvl>
    <w:lvl w:ilvl="8" w:tplc="8266004C">
      <w:start w:val="1"/>
      <w:numFmt w:val="bullet"/>
      <w:lvlText w:val="§"/>
      <w:lvlJc w:val="left"/>
      <w:pPr>
        <w:ind w:left="6480" w:hanging="349"/>
      </w:pPr>
      <w:rPr>
        <w:rFonts w:ascii="Wingdings" w:eastAsia="Wingdings" w:hAnsi="Wingdings" w:cs="Wingdings"/>
      </w:rPr>
    </w:lvl>
  </w:abstractNum>
  <w:num w:numId="1" w16cid:durableId="1994211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53D"/>
    <w:rsid w:val="00320968"/>
    <w:rsid w:val="00395332"/>
    <w:rsid w:val="004A5DED"/>
    <w:rsid w:val="00643477"/>
    <w:rsid w:val="006C4D29"/>
    <w:rsid w:val="00A55692"/>
    <w:rsid w:val="00AA053D"/>
    <w:rsid w:val="00EB4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B8C7D"/>
  <w15:docId w15:val="{D9142625-C8B3-CD4C-81B5-35DD1D7CD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sz w:val="21"/>
        <w:szCs w:val="22"/>
        <w:lang w:val="en-US" w:eastAsia="zh-CN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标题 3 字符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标题 字符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副标题 字符"/>
    <w:basedOn w:val="a0"/>
    <w:link w:val="a7"/>
    <w:uiPriority w:val="11"/>
    <w:rPr>
      <w:sz w:val="24"/>
      <w:szCs w:val="24"/>
    </w:rPr>
  </w:style>
  <w:style w:type="paragraph" w:styleId="a9">
    <w:name w:val="Quote"/>
    <w:basedOn w:val="a"/>
    <w:next w:val="a"/>
    <w:link w:val="aa"/>
    <w:uiPriority w:val="29"/>
    <w:qFormat/>
    <w:pPr>
      <w:ind w:left="720" w:right="720"/>
    </w:pPr>
    <w:rPr>
      <w:i/>
    </w:rPr>
  </w:style>
  <w:style w:type="character" w:customStyle="1" w:styleId="aa">
    <w:name w:val="引用 字符"/>
    <w:link w:val="a9"/>
    <w:uiPriority w:val="29"/>
    <w:rPr>
      <w:i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明显引用 字符"/>
    <w:link w:val="ab"/>
    <w:uiPriority w:val="30"/>
    <w:rPr>
      <w:i/>
    </w:rPr>
  </w:style>
  <w:style w:type="paragraph" w:styleId="ad">
    <w:name w:val="head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ae">
    <w:name w:val="页眉 字符"/>
    <w:basedOn w:val="a0"/>
    <w:link w:val="ad"/>
    <w:uiPriority w:val="99"/>
  </w:style>
  <w:style w:type="paragraph" w:styleId="af">
    <w:name w:val="footer"/>
    <w:basedOn w:val="a"/>
    <w:link w:val="af0"/>
    <w:uiPriority w:val="99"/>
    <w:unhideWhenUsed/>
    <w:pPr>
      <w:tabs>
        <w:tab w:val="center" w:pos="7143"/>
        <w:tab w:val="right" w:pos="14287"/>
      </w:tabs>
    </w:pPr>
  </w:style>
  <w:style w:type="character" w:customStyle="1" w:styleId="af0">
    <w:name w:val="页脚 字符"/>
    <w:basedOn w:val="a0"/>
    <w:link w:val="af"/>
    <w:uiPriority w:val="99"/>
  </w:style>
  <w:style w:type="table" w:styleId="af1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脚注文本 字符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TOC1">
    <w:name w:val="toc 1"/>
    <w:basedOn w:val="a"/>
    <w:next w:val="a"/>
    <w:uiPriority w:val="39"/>
    <w:unhideWhenUsed/>
    <w:pPr>
      <w:spacing w:after="57"/>
    </w:pPr>
  </w:style>
  <w:style w:type="paragraph" w:styleId="TOC2">
    <w:name w:val="toc 2"/>
    <w:basedOn w:val="a"/>
    <w:next w:val="a"/>
    <w:uiPriority w:val="39"/>
    <w:unhideWhenUsed/>
    <w:pPr>
      <w:spacing w:after="57"/>
      <w:ind w:left="283"/>
    </w:pPr>
  </w:style>
  <w:style w:type="paragraph" w:styleId="TOC3">
    <w:name w:val="toc 3"/>
    <w:basedOn w:val="a"/>
    <w:next w:val="a"/>
    <w:uiPriority w:val="39"/>
    <w:unhideWhenUsed/>
    <w:pPr>
      <w:spacing w:after="57"/>
      <w:ind w:left="567"/>
    </w:pPr>
  </w:style>
  <w:style w:type="paragraph" w:styleId="TOC4">
    <w:name w:val="toc 4"/>
    <w:basedOn w:val="a"/>
    <w:next w:val="a"/>
    <w:uiPriority w:val="39"/>
    <w:unhideWhenUsed/>
    <w:pPr>
      <w:spacing w:after="57"/>
      <w:ind w:left="850"/>
    </w:pPr>
  </w:style>
  <w:style w:type="paragraph" w:styleId="TOC5">
    <w:name w:val="toc 5"/>
    <w:basedOn w:val="a"/>
    <w:next w:val="a"/>
    <w:uiPriority w:val="39"/>
    <w:unhideWhenUsed/>
    <w:pPr>
      <w:spacing w:after="57"/>
      <w:ind w:left="1134"/>
    </w:pPr>
  </w:style>
  <w:style w:type="paragraph" w:styleId="TOC6">
    <w:name w:val="toc 6"/>
    <w:basedOn w:val="a"/>
    <w:next w:val="a"/>
    <w:uiPriority w:val="39"/>
    <w:unhideWhenUsed/>
    <w:pPr>
      <w:spacing w:after="57"/>
      <w:ind w:left="1417"/>
    </w:pPr>
  </w:style>
  <w:style w:type="paragraph" w:styleId="TOC7">
    <w:name w:val="toc 7"/>
    <w:basedOn w:val="a"/>
    <w:next w:val="a"/>
    <w:uiPriority w:val="39"/>
    <w:unhideWhenUsed/>
    <w:pPr>
      <w:spacing w:after="57"/>
      <w:ind w:left="1701"/>
    </w:pPr>
  </w:style>
  <w:style w:type="paragraph" w:styleId="TOC8">
    <w:name w:val="toc 8"/>
    <w:basedOn w:val="a"/>
    <w:next w:val="a"/>
    <w:uiPriority w:val="39"/>
    <w:unhideWhenUsed/>
    <w:pPr>
      <w:spacing w:after="57"/>
      <w:ind w:left="1984"/>
    </w:pPr>
  </w:style>
  <w:style w:type="paragraph" w:styleId="TOC9">
    <w:name w:val="toc 9"/>
    <w:basedOn w:val="a"/>
    <w:next w:val="a"/>
    <w:uiPriority w:val="39"/>
    <w:unhideWhenUsed/>
    <w:pPr>
      <w:spacing w:after="57"/>
      <w:ind w:left="2268"/>
    </w:pPr>
  </w:style>
  <w:style w:type="paragraph" w:styleId="TOC">
    <w:name w:val="TOC Heading"/>
    <w:uiPriority w:val="39"/>
    <w:unhideWhenUsed/>
  </w:style>
  <w:style w:type="character" w:customStyle="1" w:styleId="10">
    <w:name w:val="标题 1 字符"/>
    <w:basedOn w:val="a0"/>
    <w:link w:val="1"/>
    <w:uiPriority w:val="9"/>
    <w:rPr>
      <w:b/>
      <w:bCs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Arial"/>
      </a:majorFont>
      <a:minorFont>
        <a:latin typeface="Calibri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Microsoft Office 用户</cp:lastModifiedBy>
  <cp:revision>6</cp:revision>
  <dcterms:created xsi:type="dcterms:W3CDTF">2023-02-14T09:13:00Z</dcterms:created>
  <dcterms:modified xsi:type="dcterms:W3CDTF">2023-05-29T08:59:00Z</dcterms:modified>
</cp:coreProperties>
</file>