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735FF" w14:textId="77777777" w:rsidR="006B2CBC" w:rsidRPr="00A02567" w:rsidRDefault="006B2CBC" w:rsidP="006B2CBC">
      <w:pPr>
        <w:spacing w:line="480" w:lineRule="auto"/>
        <w:rPr>
          <w:rFonts w:cs="Times New Roman"/>
          <w:b/>
          <w:bCs/>
          <w:szCs w:val="24"/>
          <w:lang w:val="en-GB" w:eastAsia="zh-CN"/>
        </w:rPr>
      </w:pPr>
      <w:r w:rsidRPr="00A02567">
        <w:rPr>
          <w:rFonts w:cs="Times New Roman"/>
          <w:b/>
          <w:bCs/>
          <w:szCs w:val="24"/>
          <w:lang w:val="en-GB" w:eastAsia="zh-CN"/>
        </w:rPr>
        <w:t>S</w:t>
      </w:r>
      <w:r w:rsidRPr="00A02567">
        <w:rPr>
          <w:rFonts w:cs="Times New Roman" w:hint="eastAsia"/>
          <w:b/>
          <w:bCs/>
          <w:szCs w:val="24"/>
          <w:lang w:val="en-GB" w:eastAsia="zh-CN"/>
        </w:rPr>
        <w:t>upplementary</w:t>
      </w:r>
      <w:r w:rsidRPr="00A02567">
        <w:rPr>
          <w:rFonts w:cs="Times New Roman"/>
          <w:b/>
          <w:bCs/>
          <w:szCs w:val="24"/>
          <w:lang w:val="en-GB"/>
        </w:rPr>
        <w:t xml:space="preserve"> </w:t>
      </w:r>
      <w:r w:rsidRPr="00A02567">
        <w:rPr>
          <w:rFonts w:cs="Times New Roman" w:hint="eastAsia"/>
          <w:b/>
          <w:bCs/>
          <w:szCs w:val="24"/>
          <w:lang w:val="en-GB" w:eastAsia="zh-CN"/>
        </w:rPr>
        <w:t>materials</w:t>
      </w:r>
    </w:p>
    <w:p w14:paraId="598F5F56" w14:textId="77777777" w:rsidR="006B2CBC" w:rsidRDefault="006B2CBC" w:rsidP="006B2CBC">
      <w:pPr>
        <w:spacing w:line="480" w:lineRule="auto"/>
        <w:rPr>
          <w:rFonts w:cs="Times New Roman"/>
          <w:b/>
          <w:bCs/>
          <w:szCs w:val="24"/>
        </w:rPr>
      </w:pPr>
      <w:r w:rsidRPr="006F7003">
        <w:rPr>
          <w:rFonts w:cs="Times New Roman"/>
          <w:szCs w:val="24"/>
          <w:lang w:val="en-GB"/>
        </w:rPr>
        <w:t xml:space="preserve">All </w:t>
      </w:r>
      <w:r w:rsidRPr="006F7003">
        <w:rPr>
          <w:rFonts w:cs="Times New Roman"/>
          <w:szCs w:val="24"/>
          <w:lang w:val="en-GB" w:eastAsia="zh-CN"/>
        </w:rPr>
        <w:t>images</w:t>
      </w:r>
      <w:r w:rsidRPr="006F7003">
        <w:rPr>
          <w:rFonts w:cs="Times New Roman"/>
          <w:szCs w:val="24"/>
          <w:lang w:val="en-GB"/>
        </w:rPr>
        <w:t xml:space="preserve"> were acquired using the Philips Ingenuity TF PET/CT system. PET scans were conducted right away in 3D acquisition mode with 6-8 bed positions and 2 min/position after the collection of CT images (CT parameters: 120 kV, 250 </w:t>
      </w:r>
      <w:proofErr w:type="spellStart"/>
      <w:r w:rsidRPr="006F7003">
        <w:rPr>
          <w:rFonts w:cs="Times New Roman"/>
          <w:szCs w:val="24"/>
          <w:lang w:val="en-GB"/>
        </w:rPr>
        <w:t>mAs</w:t>
      </w:r>
      <w:proofErr w:type="spellEnd"/>
      <w:r w:rsidRPr="006F7003">
        <w:rPr>
          <w:rFonts w:cs="Times New Roman"/>
          <w:szCs w:val="24"/>
          <w:lang w:val="en-GB"/>
        </w:rPr>
        <w:t xml:space="preserve">/slice, and slice thickness of 1 mm). After being repeatedly rebuilt using CT data for attenuation correction (3 iterations and 12 subsets), </w:t>
      </w:r>
      <w:r w:rsidRPr="006F7003">
        <w:rPr>
          <w:rFonts w:cs="Times New Roman"/>
          <w:szCs w:val="24"/>
          <w:lang w:val="en-GB" w:eastAsia="zh-CN"/>
        </w:rPr>
        <w:t>d</w:t>
      </w:r>
      <w:r w:rsidRPr="006F7003">
        <w:rPr>
          <w:rFonts w:cs="Times New Roman"/>
          <w:szCs w:val="24"/>
          <w:lang w:val="en-GB"/>
        </w:rPr>
        <w:t>edicated software was used to co-register and show the PET data (</w:t>
      </w:r>
      <w:proofErr w:type="spellStart"/>
      <w:r w:rsidRPr="006F7003">
        <w:rPr>
          <w:rFonts w:cs="Times New Roman"/>
          <w:szCs w:val="24"/>
          <w:lang w:val="en-GB"/>
        </w:rPr>
        <w:t>MedEx</w:t>
      </w:r>
      <w:proofErr w:type="spellEnd"/>
      <w:r w:rsidRPr="006F7003">
        <w:rPr>
          <w:rFonts w:cs="Times New Roman"/>
          <w:szCs w:val="24"/>
          <w:lang w:val="en-GB"/>
        </w:rPr>
        <w:t xml:space="preserve"> system).</w:t>
      </w:r>
    </w:p>
    <w:p w14:paraId="6C494F11" w14:textId="77777777" w:rsidR="006B2CBC" w:rsidRPr="006F7003" w:rsidRDefault="006B2CBC" w:rsidP="006B2CBC">
      <w:pPr>
        <w:spacing w:line="480" w:lineRule="auto"/>
        <w:rPr>
          <w:rFonts w:cs="Times New Roman"/>
          <w:b/>
          <w:bCs/>
          <w:szCs w:val="24"/>
        </w:rPr>
      </w:pPr>
      <w:r w:rsidRPr="006F7003">
        <w:rPr>
          <w:rFonts w:cs="Times New Roman"/>
          <w:b/>
          <w:bCs/>
          <w:szCs w:val="24"/>
        </w:rPr>
        <w:t xml:space="preserve">Supplementary </w:t>
      </w:r>
      <w:r>
        <w:rPr>
          <w:rFonts w:cs="Times New Roman"/>
          <w:b/>
          <w:bCs/>
          <w:szCs w:val="24"/>
        </w:rPr>
        <w:t xml:space="preserve">Figure </w:t>
      </w:r>
      <w:r w:rsidRPr="006F7003">
        <w:rPr>
          <w:rFonts w:cs="Times New Roman"/>
          <w:b/>
          <w:bCs/>
          <w:szCs w:val="24"/>
        </w:rPr>
        <w:t xml:space="preserve">1 </w:t>
      </w:r>
      <w:r w:rsidRPr="005F6352">
        <w:rPr>
          <w:rFonts w:cs="Times New Roman"/>
          <w:szCs w:val="24"/>
        </w:rPr>
        <w:t>The distribution of positive LN metastases was detected by two modalities and final results. ACUP, Adenocarcinoma of unknown primary; NPC, Nasopharyngeal carcinoma; SCCUP, Nasopharyngeal carcinoma; HNSCC, Head and neck squamous cell carcinoma. *The result of positive LN was referred to the histopathologic combination of imaging or clinical follow-up</w:t>
      </w:r>
    </w:p>
    <w:p w14:paraId="536B1D6F" w14:textId="77777777" w:rsidR="006B2CBC" w:rsidRPr="006F7003" w:rsidRDefault="006B2CBC" w:rsidP="006B2CBC">
      <w:pPr>
        <w:spacing w:line="480" w:lineRule="auto"/>
        <w:ind w:left="960" w:hangingChars="400" w:hanging="960"/>
        <w:rPr>
          <w:rFonts w:cs="Times New Roman"/>
          <w:szCs w:val="24"/>
        </w:rPr>
      </w:pPr>
      <w:r w:rsidRPr="006F7003">
        <w:rPr>
          <w:rFonts w:cs="Times New Roman"/>
          <w:noProof/>
          <w:szCs w:val="24"/>
        </w:rPr>
        <w:lastRenderedPageBreak/>
        <w:drawing>
          <wp:inline distT="0" distB="0" distL="0" distR="0" wp14:anchorId="45FFE587" wp14:editId="05155625">
            <wp:extent cx="5274310" cy="379539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518A5" w14:textId="77777777" w:rsidR="006B2CBC" w:rsidRPr="006F7003" w:rsidRDefault="006B2CBC" w:rsidP="006B2CBC">
      <w:pPr>
        <w:spacing w:line="480" w:lineRule="auto"/>
        <w:rPr>
          <w:rFonts w:cs="Times New Roman"/>
          <w:b/>
          <w:bCs/>
          <w:szCs w:val="24"/>
        </w:rPr>
      </w:pPr>
      <w:r w:rsidRPr="006F7003">
        <w:rPr>
          <w:rFonts w:cs="Times New Roman"/>
          <w:b/>
          <w:bCs/>
          <w:szCs w:val="24"/>
        </w:rPr>
        <w:br w:type="page"/>
      </w:r>
    </w:p>
    <w:p w14:paraId="0E9F4C4F" w14:textId="77777777" w:rsidR="006B2CBC" w:rsidRPr="005F6352" w:rsidRDefault="006B2CBC" w:rsidP="006B2CBC">
      <w:pPr>
        <w:spacing w:line="480" w:lineRule="auto"/>
        <w:rPr>
          <w:rFonts w:cs="Times New Roman"/>
          <w:szCs w:val="24"/>
        </w:rPr>
      </w:pPr>
      <w:r w:rsidRPr="005B7598">
        <w:rPr>
          <w:rFonts w:cs="Times New Roman"/>
          <w:b/>
          <w:bCs/>
          <w:szCs w:val="24"/>
        </w:rPr>
        <w:lastRenderedPageBreak/>
        <w:t xml:space="preserve">Supplementary Figure 2 </w:t>
      </w:r>
      <w:r w:rsidRPr="005F6352">
        <w:rPr>
          <w:rFonts w:cs="Times New Roman"/>
          <w:szCs w:val="24"/>
        </w:rPr>
        <w:t>A subgroup analysis of radioactive uptake between [</w:t>
      </w:r>
      <w:r w:rsidRPr="005F6352">
        <w:rPr>
          <w:rFonts w:cs="Times New Roman"/>
          <w:szCs w:val="24"/>
          <w:vertAlign w:val="superscript"/>
        </w:rPr>
        <w:t>18</w:t>
      </w:r>
      <w:proofErr w:type="gramStart"/>
      <w:r w:rsidRPr="005F6352">
        <w:rPr>
          <w:rFonts w:cs="Times New Roman"/>
          <w:szCs w:val="24"/>
        </w:rPr>
        <w:t>F]FAPI</w:t>
      </w:r>
      <w:proofErr w:type="gramEnd"/>
      <w:r w:rsidRPr="005F6352">
        <w:rPr>
          <w:rFonts w:cs="Times New Roman"/>
          <w:szCs w:val="24"/>
        </w:rPr>
        <w:t>-42 and 2-[</w:t>
      </w:r>
      <w:r w:rsidRPr="005F6352">
        <w:rPr>
          <w:rFonts w:cs="Times New Roman"/>
          <w:szCs w:val="24"/>
          <w:vertAlign w:val="superscript"/>
        </w:rPr>
        <w:t>18</w:t>
      </w:r>
      <w:r w:rsidRPr="005F6352">
        <w:rPr>
          <w:rFonts w:cs="Times New Roman"/>
          <w:szCs w:val="24"/>
        </w:rPr>
        <w:t xml:space="preserve">F]FDG. a, The different groups of cervical </w:t>
      </w:r>
      <w:r>
        <w:rPr>
          <w:rFonts w:cs="Times New Roman"/>
          <w:szCs w:val="24"/>
        </w:rPr>
        <w:t>LNs</w:t>
      </w:r>
      <w:r w:rsidRPr="005F6352">
        <w:rPr>
          <w:rFonts w:cs="Times New Roman"/>
          <w:szCs w:val="24"/>
        </w:rPr>
        <w:t xml:space="preserve">. b, The different groups of mediastinum </w:t>
      </w:r>
      <w:r>
        <w:rPr>
          <w:rFonts w:cs="Times New Roman"/>
          <w:szCs w:val="24"/>
        </w:rPr>
        <w:t>LNs</w:t>
      </w:r>
      <w:r w:rsidRPr="005F6352">
        <w:rPr>
          <w:rFonts w:cs="Times New Roman"/>
          <w:szCs w:val="24"/>
        </w:rPr>
        <w:t xml:space="preserve">. c, The different groups of </w:t>
      </w:r>
      <w:r w:rsidRPr="005F6352">
        <w:rPr>
          <w:rFonts w:eastAsia="等线" w:cs="Times New Roman"/>
          <w:szCs w:val="24"/>
        </w:rPr>
        <w:t>abdomen and pelvis</w:t>
      </w:r>
      <w:r w:rsidRPr="005F635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LNs</w:t>
      </w:r>
      <w:r w:rsidRPr="005F6352">
        <w:rPr>
          <w:rFonts w:cs="Times New Roman"/>
          <w:szCs w:val="24"/>
        </w:rPr>
        <w:t xml:space="preserve">. SM, Superior mediastinum; PH, Paraaortic and hilar; IM, Inferior mediastinum; SC, Supraclavicular; PPC, parapharyngeal space. The error bar denotes the 95%CI. *, </w:t>
      </w:r>
      <w:r w:rsidRPr="005F6352">
        <w:rPr>
          <w:rFonts w:cs="Times New Roman"/>
          <w:i/>
          <w:iCs/>
          <w:szCs w:val="24"/>
        </w:rPr>
        <w:t>P</w:t>
      </w:r>
      <w:r w:rsidRPr="005F6352">
        <w:rPr>
          <w:rFonts w:cs="Times New Roman"/>
          <w:szCs w:val="24"/>
        </w:rPr>
        <w:t xml:space="preserve"> &lt;0.05; **, </w:t>
      </w:r>
      <w:r w:rsidRPr="005F6352">
        <w:rPr>
          <w:rFonts w:cs="Times New Roman"/>
          <w:i/>
          <w:iCs/>
          <w:szCs w:val="24"/>
        </w:rPr>
        <w:t>P</w:t>
      </w:r>
      <w:r w:rsidRPr="005F6352">
        <w:rPr>
          <w:rFonts w:cs="Times New Roman"/>
          <w:szCs w:val="24"/>
        </w:rPr>
        <w:t xml:space="preserve"> &lt;0.01; ***, </w:t>
      </w:r>
      <w:r w:rsidRPr="005F6352">
        <w:rPr>
          <w:rFonts w:cs="Times New Roman"/>
          <w:i/>
          <w:iCs/>
          <w:szCs w:val="24"/>
        </w:rPr>
        <w:t>P</w:t>
      </w:r>
      <w:r w:rsidRPr="005F6352">
        <w:rPr>
          <w:rFonts w:cs="Times New Roman"/>
          <w:szCs w:val="24"/>
        </w:rPr>
        <w:t xml:space="preserve"> &lt;0.001</w:t>
      </w:r>
    </w:p>
    <w:p w14:paraId="103F286D" w14:textId="77777777" w:rsidR="006B2CBC" w:rsidRPr="006F7003" w:rsidRDefault="006B2CBC" w:rsidP="006B2CBC">
      <w:pPr>
        <w:spacing w:line="480" w:lineRule="auto"/>
        <w:ind w:left="960" w:hangingChars="400" w:hanging="960"/>
        <w:rPr>
          <w:rFonts w:cs="Times New Roman"/>
          <w:szCs w:val="24"/>
        </w:rPr>
      </w:pPr>
      <w:r w:rsidRPr="006F7003">
        <w:rPr>
          <w:rFonts w:cs="Times New Roman"/>
          <w:noProof/>
          <w:szCs w:val="24"/>
        </w:rPr>
        <w:drawing>
          <wp:inline distT="0" distB="0" distL="0" distR="0" wp14:anchorId="1E9684B6" wp14:editId="0F6E0799">
            <wp:extent cx="5274310" cy="185229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E9A23" w14:textId="77777777" w:rsidR="006B2CBC" w:rsidRPr="006F7003" w:rsidRDefault="006B2CBC" w:rsidP="006B2CBC">
      <w:pPr>
        <w:spacing w:line="480" w:lineRule="auto"/>
        <w:rPr>
          <w:rFonts w:cs="Times New Roman"/>
          <w:b/>
          <w:bCs/>
          <w:szCs w:val="24"/>
        </w:rPr>
      </w:pPr>
      <w:r w:rsidRPr="006F7003">
        <w:rPr>
          <w:rFonts w:cs="Times New Roman"/>
          <w:b/>
          <w:bCs/>
          <w:szCs w:val="24"/>
        </w:rPr>
        <w:br w:type="page"/>
      </w:r>
    </w:p>
    <w:p w14:paraId="7F6C27EC" w14:textId="77777777" w:rsidR="006B2CBC" w:rsidRPr="006F7003" w:rsidRDefault="006B2CBC" w:rsidP="006B2CBC">
      <w:pPr>
        <w:spacing w:line="480" w:lineRule="auto"/>
        <w:ind w:left="960" w:hangingChars="400" w:hanging="960"/>
        <w:jc w:val="center"/>
        <w:rPr>
          <w:rFonts w:cs="Times New Roman"/>
          <w:b/>
          <w:bCs/>
          <w:szCs w:val="24"/>
        </w:rPr>
      </w:pPr>
      <w:r w:rsidRPr="006F7003">
        <w:rPr>
          <w:rFonts w:cs="Times New Roman"/>
          <w:b/>
          <w:bCs/>
          <w:szCs w:val="24"/>
        </w:rPr>
        <w:lastRenderedPageBreak/>
        <w:t xml:space="preserve">Supplementary Table 1 </w:t>
      </w:r>
      <w:r w:rsidRPr="005F6352">
        <w:rPr>
          <w:rFonts w:cs="Times New Roman"/>
          <w:szCs w:val="24"/>
        </w:rPr>
        <w:t xml:space="preserve">The distribution of metastatic </w:t>
      </w:r>
      <w:r>
        <w:rPr>
          <w:rFonts w:cs="Times New Roman"/>
          <w:szCs w:val="24"/>
        </w:rPr>
        <w:t>LNs</w:t>
      </w:r>
      <w:r w:rsidRPr="005F6352">
        <w:rPr>
          <w:rFonts w:cs="Times New Roman"/>
          <w:szCs w:val="24"/>
        </w:rPr>
        <w:t xml:space="preserve"> was depicted by [</w:t>
      </w:r>
      <w:r w:rsidRPr="005F6352">
        <w:rPr>
          <w:rFonts w:cs="Times New Roman"/>
          <w:szCs w:val="24"/>
          <w:vertAlign w:val="superscript"/>
        </w:rPr>
        <w:t>18</w:t>
      </w:r>
      <w:proofErr w:type="gramStart"/>
      <w:r w:rsidRPr="005F6352">
        <w:rPr>
          <w:rFonts w:cs="Times New Roman"/>
          <w:szCs w:val="24"/>
        </w:rPr>
        <w:t>F]FAPI</w:t>
      </w:r>
      <w:proofErr w:type="gramEnd"/>
      <w:r w:rsidRPr="005F6352">
        <w:rPr>
          <w:rFonts w:cs="Times New Roman"/>
          <w:szCs w:val="24"/>
        </w:rPr>
        <w:t>-42, 2-[</w:t>
      </w:r>
      <w:r w:rsidRPr="005F6352">
        <w:rPr>
          <w:rFonts w:cs="Times New Roman"/>
          <w:szCs w:val="24"/>
          <w:vertAlign w:val="superscript"/>
        </w:rPr>
        <w:t>18</w:t>
      </w:r>
      <w:r w:rsidRPr="005F6352">
        <w:rPr>
          <w:rFonts w:cs="Times New Roman"/>
          <w:szCs w:val="24"/>
        </w:rPr>
        <w:t>F]FDG PET/CT and Positive LNs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240"/>
        <w:gridCol w:w="2103"/>
        <w:gridCol w:w="1476"/>
        <w:gridCol w:w="1485"/>
      </w:tblGrid>
      <w:tr w:rsidR="006B2CBC" w:rsidRPr="005B7598" w14:paraId="381B8016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4888F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Subgroup</w:t>
            </w:r>
          </w:p>
        </w:tc>
        <w:tc>
          <w:tcPr>
            <w:tcW w:w="126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7D1A8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FAPI</w:t>
            </w:r>
          </w:p>
        </w:tc>
        <w:tc>
          <w:tcPr>
            <w:tcW w:w="88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2EFAD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FDG</w:t>
            </w:r>
          </w:p>
        </w:tc>
        <w:tc>
          <w:tcPr>
            <w:tcW w:w="89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18AEE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Positive LNs</w:t>
            </w:r>
          </w:p>
        </w:tc>
      </w:tr>
      <w:tr w:rsidR="006B2CBC" w:rsidRPr="005B7598" w14:paraId="76B22C01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DAB9B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Cervical level I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D0418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2DBB2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2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30061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</w:t>
            </w:r>
          </w:p>
        </w:tc>
      </w:tr>
      <w:tr w:rsidR="006B2CBC" w:rsidRPr="005B7598" w14:paraId="43C67489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06FF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Cervical level II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2CF1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FE42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9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E23F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13</w:t>
            </w:r>
          </w:p>
        </w:tc>
      </w:tr>
      <w:tr w:rsidR="006B2CBC" w:rsidRPr="005B7598" w14:paraId="2AB4F276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189F5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Cervical level III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63BD8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29E05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4E369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5</w:t>
            </w:r>
          </w:p>
        </w:tc>
      </w:tr>
      <w:tr w:rsidR="006B2CBC" w:rsidRPr="005B7598" w14:paraId="7CA7EF4F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65EFF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Cervical level IV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5D71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874D2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2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65BAD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5</w:t>
            </w:r>
          </w:p>
        </w:tc>
      </w:tr>
      <w:tr w:rsidR="006B2CBC" w:rsidRPr="005B7598" w14:paraId="2BE76AF2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4A661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Cervical level V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FBAAB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90D63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34B95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</w:t>
            </w:r>
          </w:p>
        </w:tc>
      </w:tr>
      <w:tr w:rsidR="006B2CBC" w:rsidRPr="005B7598" w14:paraId="5C68E820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E9B41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Supraclavicular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7088C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FA6F9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12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5634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12</w:t>
            </w:r>
          </w:p>
        </w:tc>
      </w:tr>
      <w:tr w:rsidR="006B2CBC" w:rsidRPr="005B7598" w14:paraId="63D40163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DE84B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Parapharyngeal space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68D4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34FDB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4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B38EF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4</w:t>
            </w:r>
          </w:p>
        </w:tc>
      </w:tr>
      <w:tr w:rsidR="006B2CBC" w:rsidRPr="005B7598" w14:paraId="2558D2FB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627A1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Superior mediastinum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B1E36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29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C579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31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9437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33</w:t>
            </w:r>
          </w:p>
        </w:tc>
      </w:tr>
      <w:tr w:rsidR="006B2CBC" w:rsidRPr="005B7598" w14:paraId="0DA6D789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2A838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Paraaortic and hilar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C5FA9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E9EC6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31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DFD9A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34</w:t>
            </w:r>
          </w:p>
        </w:tc>
      </w:tr>
      <w:tr w:rsidR="006B2CBC" w:rsidRPr="005B7598" w14:paraId="60290626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76D66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Inferior mediastinum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CB899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24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978F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19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CF17C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24</w:t>
            </w:r>
          </w:p>
        </w:tc>
      </w:tr>
      <w:tr w:rsidR="006B2CBC" w:rsidRPr="005B7598" w14:paraId="124E8837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D36C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Abdomen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4941F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47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36AD0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35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589A6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52</w:t>
            </w:r>
          </w:p>
        </w:tc>
      </w:tr>
      <w:tr w:rsidR="006B2CBC" w:rsidRPr="005B7598" w14:paraId="7DE275EF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5076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lastRenderedPageBreak/>
              <w:t xml:space="preserve">Pelvis 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7BEB1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20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87DC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19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7CA8E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26</w:t>
            </w:r>
          </w:p>
        </w:tc>
      </w:tr>
      <w:tr w:rsidR="006B2CBC" w:rsidRPr="005B7598" w14:paraId="4EA1AC0D" w14:textId="77777777" w:rsidTr="004F3D07">
        <w:trPr>
          <w:trHeight w:val="20"/>
          <w:jc w:val="center"/>
        </w:trPr>
        <w:tc>
          <w:tcPr>
            <w:tcW w:w="19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3D3558C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Total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D85C24A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188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F7B500C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168</w:t>
            </w:r>
          </w:p>
        </w:tc>
        <w:tc>
          <w:tcPr>
            <w:tcW w:w="8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8BABAEC" w14:textId="77777777" w:rsidR="006B2CBC" w:rsidRPr="005B7598" w:rsidRDefault="006B2CBC" w:rsidP="004F3D07">
            <w:pPr>
              <w:spacing w:line="480" w:lineRule="auto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>214*</w:t>
            </w:r>
          </w:p>
        </w:tc>
      </w:tr>
      <w:tr w:rsidR="006B2CBC" w:rsidRPr="005B7598" w14:paraId="39869395" w14:textId="77777777" w:rsidTr="004F3D07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25108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  <w:r w:rsidRPr="005B7598">
              <w:rPr>
                <w:rFonts w:eastAsia="等线" w:cs="Times New Roman"/>
                <w:sz w:val="20"/>
                <w:szCs w:val="20"/>
              </w:rPr>
              <w:t xml:space="preserve">* Two metastatic </w:t>
            </w:r>
            <w:r>
              <w:rPr>
                <w:rFonts w:cs="Times New Roman"/>
                <w:szCs w:val="24"/>
              </w:rPr>
              <w:t>LNs</w:t>
            </w:r>
            <w:r w:rsidRPr="005B7598">
              <w:rPr>
                <w:rFonts w:eastAsia="等线" w:cs="Times New Roman"/>
                <w:sz w:val="20"/>
                <w:szCs w:val="20"/>
              </w:rPr>
              <w:t xml:space="preserve"> located in the axilla were not analyzed.</w:t>
            </w:r>
          </w:p>
          <w:p w14:paraId="0FFB5F60" w14:textId="77777777" w:rsidR="006B2CBC" w:rsidRPr="005B7598" w:rsidRDefault="006B2CBC" w:rsidP="004F3D07">
            <w:pPr>
              <w:spacing w:line="480" w:lineRule="auto"/>
              <w:rPr>
                <w:rFonts w:eastAsia="等线" w:cs="Times New Roman"/>
                <w:sz w:val="20"/>
                <w:szCs w:val="20"/>
              </w:rPr>
            </w:pPr>
          </w:p>
        </w:tc>
      </w:tr>
    </w:tbl>
    <w:p w14:paraId="7AD88D52" w14:textId="77777777" w:rsidR="006B2CBC" w:rsidRPr="006F7003" w:rsidRDefault="006B2CBC" w:rsidP="006B2CBC">
      <w:pPr>
        <w:spacing w:line="480" w:lineRule="auto"/>
        <w:rPr>
          <w:rFonts w:eastAsia="等线" w:cs="Times New Roman"/>
          <w:b/>
          <w:bCs/>
          <w:szCs w:val="24"/>
        </w:rPr>
      </w:pPr>
      <w:r w:rsidRPr="006F7003">
        <w:rPr>
          <w:rFonts w:eastAsia="等线" w:cs="Times New Roman"/>
          <w:b/>
          <w:bCs/>
          <w:szCs w:val="24"/>
        </w:rPr>
        <w:br w:type="page"/>
      </w:r>
    </w:p>
    <w:p w14:paraId="60B28CF5" w14:textId="77777777" w:rsidR="006B2CBC" w:rsidRPr="00FF0F74" w:rsidRDefault="006B2CBC" w:rsidP="006B2CBC">
      <w:pPr>
        <w:spacing w:line="480" w:lineRule="auto"/>
        <w:rPr>
          <w:rFonts w:cs="Times New Roman"/>
          <w:b/>
          <w:bCs/>
          <w:szCs w:val="24"/>
        </w:rPr>
      </w:pPr>
      <w:r w:rsidRPr="00FF0F74">
        <w:rPr>
          <w:rFonts w:eastAsia="等线" w:cs="Times New Roman"/>
          <w:b/>
          <w:bCs/>
          <w:szCs w:val="24"/>
        </w:rPr>
        <w:lastRenderedPageBreak/>
        <w:t xml:space="preserve">Supplementary </w:t>
      </w:r>
      <w:r>
        <w:rPr>
          <w:rFonts w:eastAsia="等线" w:cs="Times New Roman"/>
          <w:b/>
          <w:bCs/>
          <w:szCs w:val="24"/>
        </w:rPr>
        <w:t>Figure</w:t>
      </w:r>
      <w:r w:rsidRPr="00FF0F74">
        <w:rPr>
          <w:rFonts w:eastAsia="等线" w:cs="Times New Roman"/>
          <w:b/>
          <w:bCs/>
          <w:szCs w:val="24"/>
        </w:rPr>
        <w:t xml:space="preserve"> 3 </w:t>
      </w:r>
      <w:r w:rsidRPr="005F6352">
        <w:rPr>
          <w:rFonts w:cs="Times New Roman"/>
          <w:szCs w:val="24"/>
        </w:rPr>
        <w:t xml:space="preserve">An 82-year-old man with prostate cancer. Maximum intensity projection of </w:t>
      </w:r>
      <w:r w:rsidRPr="0088475C">
        <w:rPr>
          <w:rFonts w:cs="Times New Roman"/>
          <w:szCs w:val="24"/>
        </w:rPr>
        <w:t>[</w:t>
      </w:r>
      <w:r w:rsidRPr="0088475C">
        <w:rPr>
          <w:rFonts w:cs="Times New Roman"/>
          <w:szCs w:val="24"/>
          <w:vertAlign w:val="superscript"/>
        </w:rPr>
        <w:t>18</w:t>
      </w:r>
      <w:proofErr w:type="gramStart"/>
      <w:r w:rsidRPr="0088475C">
        <w:rPr>
          <w:rFonts w:cs="Times New Roman"/>
          <w:szCs w:val="24"/>
        </w:rPr>
        <w:t>F]</w:t>
      </w:r>
      <w:r w:rsidRPr="005F6352">
        <w:rPr>
          <w:rFonts w:cs="Times New Roman"/>
          <w:szCs w:val="24"/>
        </w:rPr>
        <w:t>PSMA</w:t>
      </w:r>
      <w:proofErr w:type="gramEnd"/>
      <w:r>
        <w:rPr>
          <w:rFonts w:cs="Times New Roman"/>
          <w:szCs w:val="24"/>
        </w:rPr>
        <w:t>-1007</w:t>
      </w:r>
      <w:r w:rsidRPr="005F6352">
        <w:rPr>
          <w:rFonts w:cs="Times New Roman"/>
          <w:szCs w:val="24"/>
        </w:rPr>
        <w:t xml:space="preserve"> (A) and axial PET/CT fusion (B-E) exhibited high uptake in the primary tumor, metastatic </w:t>
      </w:r>
      <w:r>
        <w:rPr>
          <w:rFonts w:cs="Times New Roman"/>
          <w:szCs w:val="24"/>
        </w:rPr>
        <w:t>LNs</w:t>
      </w:r>
      <w:r w:rsidRPr="005F6352">
        <w:rPr>
          <w:rFonts w:cs="Times New Roman"/>
          <w:szCs w:val="24"/>
        </w:rPr>
        <w:t xml:space="preserve"> and bones (red arrows). The </w:t>
      </w:r>
      <w:proofErr w:type="spellStart"/>
      <w:r w:rsidRPr="005F6352">
        <w:rPr>
          <w:rFonts w:cs="Times New Roman"/>
          <w:szCs w:val="24"/>
        </w:rPr>
        <w:t>SUV</w:t>
      </w:r>
      <w:r w:rsidRPr="005F6352">
        <w:rPr>
          <w:rFonts w:cs="Times New Roman"/>
          <w:szCs w:val="24"/>
          <w:vertAlign w:val="subscript"/>
        </w:rPr>
        <w:t>max</w:t>
      </w:r>
      <w:proofErr w:type="spellEnd"/>
      <w:r w:rsidRPr="005F6352">
        <w:rPr>
          <w:rFonts w:cs="Times New Roman"/>
          <w:szCs w:val="24"/>
        </w:rPr>
        <w:t xml:space="preserve"> of positive lesions was 5.7 to 10.1 on </w:t>
      </w:r>
      <w:r w:rsidRPr="005F6352">
        <w:rPr>
          <w:rFonts w:cs="Times New Roman"/>
          <w:szCs w:val="24"/>
          <w:vertAlign w:val="superscript"/>
        </w:rPr>
        <w:t>18</w:t>
      </w:r>
      <w:r w:rsidRPr="005F6352">
        <w:rPr>
          <w:rFonts w:cs="Times New Roman"/>
          <w:szCs w:val="24"/>
        </w:rPr>
        <w:t xml:space="preserve">F-PSMA PET/CT. However, </w:t>
      </w:r>
      <w:r w:rsidRPr="005F6352">
        <w:rPr>
          <w:rFonts w:cs="Times New Roman" w:hint="eastAsia"/>
          <w:szCs w:val="24"/>
          <w:lang w:eastAsia="zh-CN"/>
        </w:rPr>
        <w:t>[</w:t>
      </w:r>
      <w:r w:rsidRPr="005F6352">
        <w:rPr>
          <w:rFonts w:cs="Times New Roman" w:hint="eastAsia"/>
          <w:szCs w:val="24"/>
          <w:vertAlign w:val="superscript"/>
          <w:lang w:eastAsia="zh-CN"/>
        </w:rPr>
        <w:t>18</w:t>
      </w:r>
      <w:proofErr w:type="gramStart"/>
      <w:r w:rsidRPr="005F6352">
        <w:rPr>
          <w:rFonts w:cs="Times New Roman" w:hint="eastAsia"/>
          <w:szCs w:val="24"/>
          <w:lang w:eastAsia="zh-CN"/>
        </w:rPr>
        <w:t>F]FAPI</w:t>
      </w:r>
      <w:proofErr w:type="gramEnd"/>
      <w:r w:rsidRPr="005F6352">
        <w:rPr>
          <w:rFonts w:cs="Times New Roman" w:hint="eastAsia"/>
          <w:szCs w:val="24"/>
          <w:lang w:eastAsia="zh-CN"/>
        </w:rPr>
        <w:t>-42</w:t>
      </w:r>
      <w:r w:rsidRPr="005F6352">
        <w:rPr>
          <w:rFonts w:cs="Times New Roman"/>
          <w:szCs w:val="24"/>
          <w:lang w:eastAsia="zh-CN"/>
        </w:rPr>
        <w:t xml:space="preserve"> </w:t>
      </w:r>
      <w:r w:rsidRPr="005F6352">
        <w:rPr>
          <w:rFonts w:cs="Times New Roman"/>
          <w:szCs w:val="24"/>
        </w:rPr>
        <w:t>(F-J) and 2-[</w:t>
      </w:r>
      <w:r w:rsidRPr="005F6352">
        <w:rPr>
          <w:rFonts w:cs="Times New Roman"/>
          <w:szCs w:val="24"/>
          <w:vertAlign w:val="superscript"/>
        </w:rPr>
        <w:t>18</w:t>
      </w:r>
      <w:r w:rsidRPr="005F6352">
        <w:rPr>
          <w:rFonts w:cs="Times New Roman"/>
          <w:szCs w:val="24"/>
        </w:rPr>
        <w:t xml:space="preserve">F]FDG (K-O) showed no intermediate uptake in these lesions. The </w:t>
      </w:r>
      <w:proofErr w:type="spellStart"/>
      <w:r w:rsidRPr="005F6352">
        <w:rPr>
          <w:rFonts w:cs="Times New Roman"/>
          <w:szCs w:val="24"/>
        </w:rPr>
        <w:t>SUV</w:t>
      </w:r>
      <w:r w:rsidRPr="005F6352">
        <w:rPr>
          <w:rFonts w:cs="Times New Roman"/>
          <w:szCs w:val="24"/>
          <w:vertAlign w:val="subscript"/>
        </w:rPr>
        <w:t>max</w:t>
      </w:r>
      <w:proofErr w:type="spellEnd"/>
      <w:r w:rsidRPr="005F6352">
        <w:rPr>
          <w:rFonts w:cs="Times New Roman"/>
          <w:szCs w:val="24"/>
        </w:rPr>
        <w:t xml:space="preserve"> of lesions was 0.8 to 2.7 on </w:t>
      </w:r>
      <w:r w:rsidRPr="005F6352">
        <w:rPr>
          <w:rFonts w:cs="Times New Roman" w:hint="eastAsia"/>
          <w:szCs w:val="24"/>
          <w:lang w:eastAsia="zh-CN"/>
        </w:rPr>
        <w:t>[</w:t>
      </w:r>
      <w:r w:rsidRPr="005F6352">
        <w:rPr>
          <w:rFonts w:cs="Times New Roman" w:hint="eastAsia"/>
          <w:szCs w:val="24"/>
          <w:vertAlign w:val="superscript"/>
          <w:lang w:eastAsia="zh-CN"/>
        </w:rPr>
        <w:t>18</w:t>
      </w:r>
      <w:proofErr w:type="gramStart"/>
      <w:r w:rsidRPr="005F6352">
        <w:rPr>
          <w:rFonts w:cs="Times New Roman" w:hint="eastAsia"/>
          <w:szCs w:val="24"/>
          <w:lang w:eastAsia="zh-CN"/>
        </w:rPr>
        <w:t>F]FAPI</w:t>
      </w:r>
      <w:proofErr w:type="gramEnd"/>
      <w:r w:rsidRPr="005F6352">
        <w:rPr>
          <w:rFonts w:cs="Times New Roman" w:hint="eastAsia"/>
          <w:szCs w:val="24"/>
          <w:lang w:eastAsia="zh-CN"/>
        </w:rPr>
        <w:t>-42</w:t>
      </w:r>
      <w:r w:rsidRPr="005F6352">
        <w:rPr>
          <w:rFonts w:cs="Times New Roman"/>
          <w:szCs w:val="24"/>
          <w:lang w:eastAsia="zh-CN"/>
        </w:rPr>
        <w:t xml:space="preserve"> </w:t>
      </w:r>
      <w:r w:rsidRPr="005F6352">
        <w:rPr>
          <w:rFonts w:cs="Times New Roman"/>
          <w:szCs w:val="24"/>
        </w:rPr>
        <w:t>PET/CT and 1.3 to 2.6 on 2-[</w:t>
      </w:r>
      <w:r w:rsidRPr="005F6352">
        <w:rPr>
          <w:rFonts w:cs="Times New Roman"/>
          <w:szCs w:val="24"/>
          <w:vertAlign w:val="superscript"/>
        </w:rPr>
        <w:t>18</w:t>
      </w:r>
      <w:r w:rsidRPr="005F6352">
        <w:rPr>
          <w:rFonts w:cs="Times New Roman"/>
          <w:szCs w:val="24"/>
        </w:rPr>
        <w:t>F]FDG PET/CT</w:t>
      </w:r>
    </w:p>
    <w:p w14:paraId="3CD66ABF" w14:textId="77777777" w:rsidR="006B2CBC" w:rsidRPr="006F7003" w:rsidRDefault="006B2CBC" w:rsidP="006B2CBC">
      <w:pPr>
        <w:spacing w:line="480" w:lineRule="auto"/>
        <w:ind w:left="960" w:hangingChars="400" w:hanging="960"/>
        <w:jc w:val="center"/>
        <w:rPr>
          <w:rFonts w:cs="Times New Roman"/>
          <w:szCs w:val="24"/>
        </w:rPr>
      </w:pPr>
      <w:r w:rsidRPr="006F7003">
        <w:rPr>
          <w:rFonts w:cs="Times New Roman"/>
          <w:noProof/>
          <w:szCs w:val="24"/>
        </w:rPr>
        <w:drawing>
          <wp:inline distT="0" distB="0" distL="0" distR="0" wp14:anchorId="0B262505" wp14:editId="5166D947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9EFC4" w14:textId="77777777" w:rsidR="006B2CBC" w:rsidRPr="006F7003" w:rsidRDefault="006B2CBC" w:rsidP="006B2CBC">
      <w:pPr>
        <w:spacing w:line="480" w:lineRule="auto"/>
        <w:rPr>
          <w:rFonts w:cs="Times New Roman"/>
          <w:b/>
          <w:bCs/>
          <w:szCs w:val="24"/>
        </w:rPr>
      </w:pPr>
      <w:r w:rsidRPr="006F7003">
        <w:rPr>
          <w:rFonts w:cs="Times New Roman"/>
          <w:b/>
          <w:bCs/>
          <w:szCs w:val="24"/>
        </w:rPr>
        <w:br w:type="page"/>
      </w:r>
    </w:p>
    <w:p w14:paraId="2ECBBCBD" w14:textId="77777777" w:rsidR="009A22D4" w:rsidRDefault="009A22D4"/>
    <w:sectPr w:rsidR="009A2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B2"/>
    <w:rsid w:val="00137DB2"/>
    <w:rsid w:val="00667429"/>
    <w:rsid w:val="006B2CBC"/>
    <w:rsid w:val="009A22D4"/>
    <w:rsid w:val="00BA4B87"/>
    <w:rsid w:val="00EA68F9"/>
    <w:rsid w:val="00FB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01798F-FD38-453D-9EAD-74136BFC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CBC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兴宇 牟</dc:creator>
  <cp:keywords/>
  <dc:description/>
  <cp:lastModifiedBy>兴宇 牟</cp:lastModifiedBy>
  <cp:revision>2</cp:revision>
  <dcterms:created xsi:type="dcterms:W3CDTF">2023-06-07T12:32:00Z</dcterms:created>
  <dcterms:modified xsi:type="dcterms:W3CDTF">2023-06-07T12:32:00Z</dcterms:modified>
</cp:coreProperties>
</file>