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910CB" w14:textId="77777777" w:rsidR="006841D3" w:rsidRPr="003656D7" w:rsidRDefault="006841D3" w:rsidP="006841D3">
      <w:pPr>
        <w:ind w:right="84"/>
        <w:rPr>
          <w:rStyle w:val="fontstyle01"/>
          <w:rFonts w:cstheme="minorHAnsi"/>
          <w:b/>
          <w:bCs/>
          <w:sz w:val="41"/>
          <w:szCs w:val="41"/>
        </w:rPr>
      </w:pPr>
      <w:r w:rsidRPr="006841D3">
        <w:rPr>
          <w:rStyle w:val="fontstyle01"/>
          <w:rFonts w:cstheme="minorHAnsi"/>
          <w:b/>
          <w:bCs/>
          <w:sz w:val="41"/>
          <w:szCs w:val="41"/>
        </w:rPr>
        <w:t xml:space="preserve">Supporting information for: </w:t>
      </w:r>
      <w:r w:rsidRPr="003656D7">
        <w:rPr>
          <w:rStyle w:val="fontstyle01"/>
          <w:rFonts w:cstheme="minorHAnsi"/>
          <w:b/>
          <w:bCs/>
          <w:sz w:val="41"/>
          <w:szCs w:val="41"/>
        </w:rPr>
        <w:t>Skin</w:t>
      </w:r>
      <w:r>
        <w:rPr>
          <w:rStyle w:val="fontstyle01"/>
          <w:rFonts w:cstheme="minorHAnsi"/>
          <w:b/>
          <w:bCs/>
          <w:sz w:val="41"/>
          <w:szCs w:val="41"/>
        </w:rPr>
        <w:t>-</w:t>
      </w:r>
      <w:r w:rsidRPr="003656D7">
        <w:rPr>
          <w:rStyle w:val="fontstyle01"/>
          <w:rFonts w:cstheme="minorHAnsi"/>
          <w:b/>
          <w:bCs/>
          <w:sz w:val="41"/>
          <w:szCs w:val="41"/>
        </w:rPr>
        <w:t>effect</w:t>
      </w:r>
      <w:r>
        <w:rPr>
          <w:rStyle w:val="fontstyle01"/>
          <w:rFonts w:cstheme="minorHAnsi"/>
          <w:b/>
          <w:bCs/>
          <w:sz w:val="41"/>
          <w:szCs w:val="41"/>
        </w:rPr>
        <w:t xml:space="preserve">-mediated </w:t>
      </w:r>
      <w:r w:rsidRPr="003656D7">
        <w:rPr>
          <w:rStyle w:val="fontstyle01"/>
          <w:rFonts w:cstheme="minorHAnsi"/>
          <w:b/>
          <w:bCs/>
          <w:sz w:val="41"/>
          <w:szCs w:val="41"/>
        </w:rPr>
        <w:t xml:space="preserve">magnetoionic control of </w:t>
      </w:r>
      <w:r>
        <w:rPr>
          <w:rStyle w:val="fontstyle01"/>
          <w:rFonts w:cstheme="minorHAnsi"/>
          <w:b/>
          <w:bCs/>
          <w:sz w:val="41"/>
          <w:szCs w:val="41"/>
        </w:rPr>
        <w:t>charge transport in thick layers</w:t>
      </w:r>
    </w:p>
    <w:p w14:paraId="5B01ABD7" w14:textId="77777777" w:rsidR="00962F11" w:rsidRPr="00962F11" w:rsidRDefault="00962F11" w:rsidP="00962F11">
      <w:pPr>
        <w:ind w:right="84"/>
        <w:rPr>
          <w:sz w:val="24"/>
          <w:szCs w:val="24"/>
        </w:rPr>
      </w:pPr>
      <w:r w:rsidRPr="00962F11">
        <w:rPr>
          <w:sz w:val="24"/>
          <w:szCs w:val="24"/>
        </w:rPr>
        <w:t>V. Barough</w:t>
      </w:r>
      <w:r w:rsidRPr="002437BC">
        <w:rPr>
          <w:sz w:val="24"/>
          <w:szCs w:val="24"/>
          <w:vertAlign w:val="superscript"/>
        </w:rPr>
        <w:t>1</w:t>
      </w:r>
      <w:r w:rsidRPr="00962F11">
        <w:rPr>
          <w:sz w:val="24"/>
          <w:szCs w:val="24"/>
        </w:rPr>
        <w:t>, L. Jamilpanah</w:t>
      </w:r>
      <w:r w:rsidRPr="002437BC">
        <w:rPr>
          <w:sz w:val="24"/>
          <w:szCs w:val="24"/>
          <w:vertAlign w:val="superscript"/>
        </w:rPr>
        <w:t>1,2</w:t>
      </w:r>
      <w:r w:rsidRPr="00962F11">
        <w:rPr>
          <w:sz w:val="24"/>
          <w:szCs w:val="24"/>
        </w:rPr>
        <w:t>, M. Zare</w:t>
      </w:r>
      <w:r w:rsidRPr="002437BC">
        <w:rPr>
          <w:sz w:val="24"/>
          <w:szCs w:val="24"/>
          <w:vertAlign w:val="superscript"/>
        </w:rPr>
        <w:t>1</w:t>
      </w:r>
      <w:r w:rsidRPr="00962F11">
        <w:rPr>
          <w:sz w:val="24"/>
          <w:szCs w:val="24"/>
        </w:rPr>
        <w:t>, M. Ghanaatshoar</w:t>
      </w:r>
      <w:r w:rsidRPr="002437BC">
        <w:rPr>
          <w:sz w:val="24"/>
          <w:szCs w:val="24"/>
          <w:vertAlign w:val="superscript"/>
        </w:rPr>
        <w:t>3</w:t>
      </w:r>
      <w:r w:rsidRPr="00962F11">
        <w:rPr>
          <w:sz w:val="24"/>
          <w:szCs w:val="24"/>
        </w:rPr>
        <w:t>, S.M. Mohseni</w:t>
      </w:r>
      <w:r w:rsidRPr="002437BC">
        <w:rPr>
          <w:sz w:val="24"/>
          <w:szCs w:val="24"/>
          <w:vertAlign w:val="superscript"/>
        </w:rPr>
        <w:t>1,*</w:t>
      </w:r>
    </w:p>
    <w:p w14:paraId="6A2A4985" w14:textId="77777777" w:rsidR="00962F11" w:rsidRPr="00962F11" w:rsidRDefault="00962F11" w:rsidP="00962F11">
      <w:pPr>
        <w:ind w:right="84"/>
        <w:rPr>
          <w:sz w:val="24"/>
          <w:szCs w:val="24"/>
        </w:rPr>
      </w:pPr>
      <w:r w:rsidRPr="00962F11">
        <w:rPr>
          <w:sz w:val="24"/>
          <w:szCs w:val="24"/>
        </w:rPr>
        <w:t>Department of Physics, Shahid Beheshti University, Tehran, 1983969411, Iran</w:t>
      </w:r>
    </w:p>
    <w:p w14:paraId="73535B2A" w14:textId="77777777" w:rsidR="00962F11" w:rsidRPr="00962F11" w:rsidRDefault="00962F11" w:rsidP="00962F11">
      <w:pPr>
        <w:ind w:right="84"/>
        <w:rPr>
          <w:sz w:val="24"/>
          <w:szCs w:val="24"/>
        </w:rPr>
      </w:pPr>
      <w:r w:rsidRPr="00962F11">
        <w:rPr>
          <w:sz w:val="24"/>
          <w:szCs w:val="24"/>
        </w:rPr>
        <w:t>Laboratory for High Performance Ceramics, Empa - Swiss Federal Laboratories for Materials Science and</w:t>
      </w:r>
    </w:p>
    <w:p w14:paraId="5FDD5104" w14:textId="77777777" w:rsidR="00962F11" w:rsidRPr="00962F11" w:rsidRDefault="00962F11" w:rsidP="00962F11">
      <w:pPr>
        <w:ind w:right="84"/>
        <w:rPr>
          <w:sz w:val="24"/>
          <w:szCs w:val="24"/>
        </w:rPr>
      </w:pPr>
      <w:r w:rsidRPr="00962F11">
        <w:rPr>
          <w:sz w:val="24"/>
          <w:szCs w:val="24"/>
        </w:rPr>
        <w:t>Technology, Dubendorf, CH-8600 Switzerland</w:t>
      </w:r>
    </w:p>
    <w:p w14:paraId="487A02E9" w14:textId="77777777" w:rsidR="00962F11" w:rsidRPr="00962F11" w:rsidRDefault="00962F11" w:rsidP="00962F11">
      <w:pPr>
        <w:ind w:right="84"/>
        <w:rPr>
          <w:sz w:val="24"/>
          <w:szCs w:val="24"/>
        </w:rPr>
      </w:pPr>
      <w:r w:rsidRPr="00962F11">
        <w:rPr>
          <w:sz w:val="24"/>
          <w:szCs w:val="24"/>
        </w:rPr>
        <w:t>Laser and Plasma Research Institute, Shahid Beheshti University, Tehran, 1983969411, Iran</w:t>
      </w:r>
    </w:p>
    <w:p w14:paraId="4588DE56" w14:textId="03689BB5" w:rsidR="002C7276" w:rsidRDefault="00962F11" w:rsidP="00962F11">
      <w:pPr>
        <w:keepNext/>
        <w:rPr>
          <w:sz w:val="24"/>
          <w:szCs w:val="24"/>
        </w:rPr>
      </w:pPr>
      <w:r w:rsidRPr="00962F11">
        <w:rPr>
          <w:sz w:val="24"/>
          <w:szCs w:val="24"/>
        </w:rPr>
        <w:t xml:space="preserve">*Contact email: </w:t>
      </w:r>
      <w:hyperlink r:id="rId5" w:history="1">
        <w:r w:rsidR="002C7276" w:rsidRPr="00F504BF">
          <w:rPr>
            <w:rStyle w:val="Hyperlink"/>
            <w:sz w:val="24"/>
            <w:szCs w:val="24"/>
          </w:rPr>
          <w:t>m-mohseni@sbu.ac.ir</w:t>
        </w:r>
      </w:hyperlink>
    </w:p>
    <w:p w14:paraId="1329317B" w14:textId="77777777" w:rsidR="002C7276" w:rsidRDefault="002C7276" w:rsidP="00962F11">
      <w:pPr>
        <w:keepNext/>
        <w:rPr>
          <w:sz w:val="24"/>
          <w:szCs w:val="24"/>
        </w:rPr>
      </w:pPr>
    </w:p>
    <w:p w14:paraId="794DAE7E" w14:textId="6CBDF6A2" w:rsidR="006841D3" w:rsidRPr="002437BC" w:rsidRDefault="00371CB4" w:rsidP="003E030E">
      <w:pPr>
        <w:keepNext/>
        <w:rPr>
          <w:b/>
          <w:bCs/>
          <w:sz w:val="24"/>
          <w:szCs w:val="24"/>
        </w:rPr>
      </w:pPr>
      <w:r w:rsidRPr="002437BC">
        <w:rPr>
          <w:b/>
          <w:bCs/>
          <w:sz w:val="24"/>
          <w:szCs w:val="24"/>
        </w:rPr>
        <w:t xml:space="preserve">1- </w:t>
      </w:r>
      <w:r w:rsidR="009603B0" w:rsidRPr="002437BC">
        <w:rPr>
          <w:b/>
          <w:bCs/>
          <w:sz w:val="24"/>
          <w:szCs w:val="24"/>
        </w:rPr>
        <w:t>Schematic of the</w:t>
      </w:r>
      <w:r w:rsidRPr="002437BC">
        <w:rPr>
          <w:b/>
          <w:bCs/>
          <w:sz w:val="24"/>
          <w:szCs w:val="24"/>
        </w:rPr>
        <w:t xml:space="preserve"> </w:t>
      </w:r>
      <w:r w:rsidR="009603B0" w:rsidRPr="002437BC">
        <w:rPr>
          <w:b/>
          <w:bCs/>
          <w:sz w:val="24"/>
          <w:szCs w:val="24"/>
        </w:rPr>
        <w:t>skin effect-mediated magnetoionic characterization</w:t>
      </w:r>
    </w:p>
    <w:p w14:paraId="621BBF24" w14:textId="11F00DF3" w:rsidR="001E64E8" w:rsidRPr="00AC6BA2" w:rsidRDefault="001E64E8" w:rsidP="00371CB4">
      <w:pPr>
        <w:keepNext/>
      </w:pPr>
      <w:r w:rsidRPr="00AC6BA2">
        <w:rPr>
          <w:sz w:val="24"/>
          <w:szCs w:val="24"/>
        </w:rPr>
        <w:t xml:space="preserve">The diagram of the experimental setup is visible in Figure S1. To conduct the electrochemical measurements, a conventional three-electrode electrochemical cell was employed, and the impedance of the cobalt-based amorphous ribbon </w:t>
      </w:r>
      <w:r w:rsidR="00AC6BA2" w:rsidRPr="002D6E4B">
        <w:rPr>
          <w:rStyle w:val="fontstyle01"/>
          <w:sz w:val="24"/>
          <w:szCs w:val="24"/>
        </w:rPr>
        <w:t>(Co</w:t>
      </w:r>
      <w:r w:rsidR="00AC6BA2" w:rsidRPr="002D6E4B">
        <w:rPr>
          <w:rStyle w:val="fontstyle01"/>
          <w:sz w:val="24"/>
          <w:szCs w:val="24"/>
          <w:vertAlign w:val="subscript"/>
        </w:rPr>
        <w:t>60</w:t>
      </w:r>
      <w:r w:rsidR="00AC6BA2" w:rsidRPr="002D6E4B">
        <w:rPr>
          <w:rStyle w:val="fontstyle01"/>
          <w:sz w:val="24"/>
          <w:szCs w:val="24"/>
        </w:rPr>
        <w:t>Fe</w:t>
      </w:r>
      <w:r w:rsidR="00AC6BA2" w:rsidRPr="002D6E4B">
        <w:rPr>
          <w:rStyle w:val="fontstyle01"/>
          <w:sz w:val="24"/>
          <w:szCs w:val="24"/>
          <w:vertAlign w:val="subscript"/>
        </w:rPr>
        <w:t>3</w:t>
      </w:r>
      <w:r w:rsidR="00AC6BA2" w:rsidRPr="002D6E4B">
        <w:rPr>
          <w:rStyle w:val="fontstyle01"/>
          <w:sz w:val="24"/>
          <w:szCs w:val="24"/>
        </w:rPr>
        <w:t>Si</w:t>
      </w:r>
      <w:r w:rsidR="00AC6BA2" w:rsidRPr="002D6E4B">
        <w:rPr>
          <w:rStyle w:val="fontstyle01"/>
          <w:sz w:val="24"/>
          <w:szCs w:val="24"/>
          <w:vertAlign w:val="subscript"/>
        </w:rPr>
        <w:t>12</w:t>
      </w:r>
      <w:r w:rsidR="00AC6BA2" w:rsidRPr="002D6E4B">
        <w:rPr>
          <w:rStyle w:val="fontstyle01"/>
          <w:sz w:val="24"/>
          <w:szCs w:val="24"/>
        </w:rPr>
        <w:t>B</w:t>
      </w:r>
      <w:r w:rsidR="00AC6BA2" w:rsidRPr="002D6E4B">
        <w:rPr>
          <w:rStyle w:val="fontstyle01"/>
          <w:sz w:val="24"/>
          <w:szCs w:val="24"/>
          <w:vertAlign w:val="subscript"/>
        </w:rPr>
        <w:t>25</w:t>
      </w:r>
      <w:r w:rsidR="00AC6BA2" w:rsidRPr="002D6E4B">
        <w:rPr>
          <w:rStyle w:val="fontstyle01"/>
          <w:sz w:val="24"/>
          <w:szCs w:val="24"/>
        </w:rPr>
        <w:t>)</w:t>
      </w:r>
      <w:r w:rsidR="00AC6BA2">
        <w:rPr>
          <w:rStyle w:val="fontstyle01"/>
          <w:sz w:val="24"/>
          <w:szCs w:val="24"/>
        </w:rPr>
        <w:t xml:space="preserve"> </w:t>
      </w:r>
      <w:r w:rsidRPr="00AC6BA2">
        <w:rPr>
          <w:sz w:val="24"/>
          <w:szCs w:val="24"/>
        </w:rPr>
        <w:t>was measured concurrently. The skin depth, which is approximately 100 nanometers</w:t>
      </w:r>
      <w:r w:rsidR="00371D6E">
        <w:rPr>
          <w:sz w:val="24"/>
          <w:szCs w:val="24"/>
        </w:rPr>
        <w:fldChar w:fldCharType="begin"/>
      </w:r>
      <w:r w:rsidR="00371D6E">
        <w:rPr>
          <w:sz w:val="24"/>
          <w:szCs w:val="24"/>
        </w:rPr>
        <w:instrText xml:space="preserve"> ADDIN EN.CITE &lt;EndNote&gt;&lt;Cite&gt;&lt;Author&gt;Hajiali&lt;/Author&gt;&lt;Year&gt;2017&lt;/Year&gt;&lt;RecNum&gt;2&lt;/RecNum&gt;&lt;DisplayText&gt;[1]&lt;/DisplayText&gt;&lt;record&gt;&lt;rec-number&gt;2&lt;/rec-number&gt;&lt;foreign-keys&gt;&lt;key app="EN" db-id="swvx59fafvtfdxe52zsxst0kderd5ar255d5" timestamp="1686495954"&gt;2&lt;/key&gt;&lt;/foreign-keys&gt;&lt;ref-type name="Journal Article"&gt;17&lt;/ref-type&gt;&lt;contributors&gt;&lt;authors&gt;&lt;author&gt;Hajiali, MR&lt;/author&gt;&lt;author&gt;Mohseni, S Morteza&lt;/author&gt;&lt;author&gt;Jamilpanah, L&lt;/author&gt;&lt;author&gt;Hamdi, M&lt;/author&gt;&lt;author&gt;Roozmeh, SE&lt;/author&gt;&lt;author&gt;Mohseni, S Majid&lt;/author&gt;&lt;/authors&gt;&lt;/contributors&gt;&lt;titles&gt;&lt;title&gt;Spin-orbit-torque driven magnetoimpedance in Pt-layer/magnetic-ribbon heterostructures&lt;/title&gt;&lt;secondary-title&gt;Applied Physics Letters&lt;/secondary-title&gt;&lt;/titles&gt;&lt;periodical&gt;&lt;full-title&gt;Applied Physics Letters&lt;/full-title&gt;&lt;/periodical&gt;&lt;pages&gt;192405&lt;/pages&gt;&lt;volume&gt;111&lt;/volume&gt;&lt;number&gt;19&lt;/number&gt;&lt;dates&gt;&lt;year&gt;2017&lt;/year&gt;&lt;/dates&gt;&lt;isbn&gt;0003-6951&lt;/isbn&gt;&lt;urls&gt;&lt;/urls&gt;&lt;/record&gt;&lt;/Cite&gt;&lt;/EndNote&gt;</w:instrText>
      </w:r>
      <w:r w:rsidR="00371D6E">
        <w:rPr>
          <w:sz w:val="24"/>
          <w:szCs w:val="24"/>
        </w:rPr>
        <w:fldChar w:fldCharType="separate"/>
      </w:r>
      <w:r w:rsidR="00371D6E">
        <w:rPr>
          <w:noProof/>
          <w:sz w:val="24"/>
          <w:szCs w:val="24"/>
        </w:rPr>
        <w:t>[1]</w:t>
      </w:r>
      <w:r w:rsidR="00371D6E">
        <w:rPr>
          <w:sz w:val="24"/>
          <w:szCs w:val="24"/>
        </w:rPr>
        <w:fldChar w:fldCharType="end"/>
      </w:r>
      <w:r w:rsidRPr="00AC6BA2">
        <w:rPr>
          <w:sz w:val="24"/>
          <w:szCs w:val="24"/>
        </w:rPr>
        <w:t xml:space="preserve">, is </w:t>
      </w:r>
      <w:r w:rsidR="00371CB4">
        <w:rPr>
          <w:sz w:val="24"/>
          <w:szCs w:val="24"/>
        </w:rPr>
        <w:t>demonstrated</w:t>
      </w:r>
      <w:r w:rsidR="00371CB4" w:rsidRPr="00AC6BA2">
        <w:rPr>
          <w:sz w:val="24"/>
          <w:szCs w:val="24"/>
        </w:rPr>
        <w:t xml:space="preserve"> </w:t>
      </w:r>
      <w:r w:rsidRPr="00AC6BA2">
        <w:rPr>
          <w:sz w:val="24"/>
          <w:szCs w:val="24"/>
        </w:rPr>
        <w:t xml:space="preserve">in </w:t>
      </w:r>
      <w:r w:rsidR="00371CB4">
        <w:rPr>
          <w:sz w:val="24"/>
          <w:szCs w:val="24"/>
        </w:rPr>
        <w:t>the schematic</w:t>
      </w:r>
      <w:r w:rsidR="00305ADE">
        <w:rPr>
          <w:sz w:val="24"/>
          <w:szCs w:val="24"/>
        </w:rPr>
        <w:t>.</w:t>
      </w:r>
    </w:p>
    <w:p w14:paraId="2D210276" w14:textId="0E39F1A3" w:rsidR="008C481D" w:rsidRDefault="00CF48E4" w:rsidP="003E030E">
      <w:pPr>
        <w:keepNext/>
        <w:jc w:val="center"/>
      </w:pPr>
      <w:r>
        <w:rPr>
          <w:noProof/>
          <w:rtl/>
        </w:rPr>
        <w:drawing>
          <wp:inline distT="0" distB="0" distL="0" distR="0" wp14:anchorId="783719E0" wp14:editId="361F60CF">
            <wp:extent cx="3609975" cy="19854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647" cy="20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481F" w14:textId="488DA559" w:rsidR="00CF48E4" w:rsidRDefault="008C481D" w:rsidP="00371CB4">
      <w:pPr>
        <w:pStyle w:val="Caption"/>
        <w:jc w:val="center"/>
      </w:pPr>
      <w:r>
        <w:t>Figure S</w:t>
      </w:r>
      <w:fldSimple w:instr=" SEQ Figure \* ARABIC ">
        <w:r>
          <w:rPr>
            <w:noProof/>
          </w:rPr>
          <w:t>1</w:t>
        </w:r>
      </w:fldSimple>
      <w:r>
        <w:t>: The schematic of the setup</w:t>
      </w:r>
      <w:r w:rsidR="00371CB4">
        <w:t xml:space="preserve">at the left with </w:t>
      </w:r>
      <w:r w:rsidR="00A25766">
        <w:t>WE: working electrode, RE: reference electrode, CE: counter electrode</w:t>
      </w:r>
      <w:r w:rsidR="00371CB4">
        <w:t xml:space="preserve"> and the zoom-in at the skin depth region at the right</w:t>
      </w:r>
      <w:r w:rsidR="00A25766">
        <w:t>.</w:t>
      </w:r>
    </w:p>
    <w:p w14:paraId="12A72E66" w14:textId="77777777" w:rsidR="00A85360" w:rsidRDefault="00A85360" w:rsidP="00A85360">
      <w:pPr>
        <w:keepNext/>
        <w:rPr>
          <w:sz w:val="24"/>
          <w:szCs w:val="24"/>
        </w:rPr>
      </w:pPr>
    </w:p>
    <w:p w14:paraId="07F47A86" w14:textId="7D0D17F4" w:rsidR="00371CB4" w:rsidRPr="002437BC" w:rsidRDefault="00371CB4" w:rsidP="00371CB4">
      <w:pPr>
        <w:keepNext/>
        <w:rPr>
          <w:b/>
          <w:bCs/>
          <w:sz w:val="24"/>
          <w:szCs w:val="24"/>
        </w:rPr>
      </w:pPr>
      <w:r w:rsidRPr="002437BC">
        <w:rPr>
          <w:b/>
          <w:bCs/>
          <w:sz w:val="24"/>
          <w:szCs w:val="24"/>
        </w:rPr>
        <w:t xml:space="preserve">2- </w:t>
      </w:r>
      <w:r w:rsidR="009603B0" w:rsidRPr="002437BC">
        <w:rPr>
          <w:b/>
          <w:bCs/>
          <w:sz w:val="24"/>
          <w:szCs w:val="24"/>
        </w:rPr>
        <w:t>Impedance characterization</w:t>
      </w:r>
    </w:p>
    <w:p w14:paraId="065C1578" w14:textId="225091C2" w:rsidR="00A85360" w:rsidRPr="00A85360" w:rsidRDefault="00A85360" w:rsidP="00A85360">
      <w:pPr>
        <w:keepNext/>
        <w:rPr>
          <w:sz w:val="24"/>
          <w:szCs w:val="24"/>
          <w:rtl/>
        </w:rPr>
      </w:pPr>
      <w:r w:rsidRPr="00AC6BA2">
        <w:rPr>
          <w:sz w:val="24"/>
          <w:szCs w:val="24"/>
        </w:rPr>
        <w:t xml:space="preserve">The raw data and smoothed curve of the impedance changes during the oxidation and reduction process at the sample's surface are depicted in Figure S2. Based on the results, it </w:t>
      </w:r>
      <w:r w:rsidRPr="00AC6BA2">
        <w:rPr>
          <w:sz w:val="24"/>
          <w:szCs w:val="24"/>
        </w:rPr>
        <w:lastRenderedPageBreak/>
        <w:t>can be inferred that the impedance undergoes an increase and decrease of approximately 2 and 1 ohm, respectively, during the oxidation and reduction reactions.</w:t>
      </w:r>
    </w:p>
    <w:p w14:paraId="3D3A2431" w14:textId="54AA542A" w:rsidR="008C481D" w:rsidRDefault="00C87018" w:rsidP="003E030E">
      <w:pPr>
        <w:keepNext/>
        <w:jc w:val="center"/>
      </w:pPr>
      <w:r>
        <w:rPr>
          <w:noProof/>
        </w:rPr>
        <w:drawing>
          <wp:inline distT="0" distB="0" distL="0" distR="0" wp14:anchorId="256BB157" wp14:editId="5A4AED54">
            <wp:extent cx="2588488" cy="21526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381" cy="222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8B4FD" w14:textId="15B04668" w:rsidR="00B86E86" w:rsidRDefault="008C481D" w:rsidP="003E030E">
      <w:pPr>
        <w:pStyle w:val="Caption"/>
        <w:jc w:val="center"/>
      </w:pPr>
      <w:r>
        <w:t>Figure S</w:t>
      </w:r>
      <w:fldSimple w:instr=" SEQ Figure \* ARABIC ">
        <w:r>
          <w:rPr>
            <w:noProof/>
          </w:rPr>
          <w:t>2</w:t>
        </w:r>
      </w:fldSimple>
      <w:r>
        <w:t>: Raw data and smoothed curve of impedance changes in two oxidation and reduction states.</w:t>
      </w:r>
    </w:p>
    <w:p w14:paraId="209F7D08" w14:textId="77777777" w:rsidR="002437BC" w:rsidRDefault="002437BC" w:rsidP="00A85360">
      <w:pPr>
        <w:keepNext/>
        <w:rPr>
          <w:sz w:val="24"/>
          <w:szCs w:val="24"/>
        </w:rPr>
      </w:pPr>
    </w:p>
    <w:p w14:paraId="6763C507" w14:textId="6D7BF579" w:rsidR="007724EA" w:rsidRDefault="00A85360" w:rsidP="002437BC">
      <w:pPr>
        <w:keepNext/>
        <w:rPr>
          <w:sz w:val="24"/>
          <w:szCs w:val="24"/>
        </w:rPr>
      </w:pPr>
      <w:r w:rsidRPr="00AC6BA2">
        <w:rPr>
          <w:sz w:val="24"/>
          <w:szCs w:val="24"/>
        </w:rPr>
        <w:t>Figure S3 illustrates that while the impedance changes due to oxidation or reduction at the sample's surface, it remains unaffected by an increase in current density at the hydrogen</w:t>
      </w:r>
      <w:r w:rsidR="00087CEA">
        <w:rPr>
          <w:sz w:val="24"/>
          <w:szCs w:val="24"/>
        </w:rPr>
        <w:t xml:space="preserve"> </w:t>
      </w:r>
      <w:r w:rsidRPr="00AC6BA2">
        <w:rPr>
          <w:sz w:val="24"/>
          <w:szCs w:val="24"/>
        </w:rPr>
        <w:t>evolution reaction region. This observation provides evidence that the impedance is solely influenced by electrochemical reactions occurring at the surface of the sample.</w:t>
      </w:r>
      <w:r w:rsidR="008E773E">
        <w:rPr>
          <w:sz w:val="24"/>
          <w:szCs w:val="24"/>
        </w:rPr>
        <w:t xml:space="preserve"> This is the electronic portion of the magnetoionic interaction which is due to transformations in the chemical compositions at the sample’s surface. In reality, in</w:t>
      </w:r>
      <w:r w:rsidR="00AD6A1C">
        <w:rPr>
          <w:sz w:val="24"/>
          <w:szCs w:val="24"/>
        </w:rPr>
        <w:t xml:space="preserve"> the</w:t>
      </w:r>
      <w:r w:rsidR="008E773E">
        <w:rPr>
          <w:sz w:val="24"/>
          <w:szCs w:val="24"/>
        </w:rPr>
        <w:t xml:space="preserve"> skin effect-mediated magnetoionic phenomenon, impedance could just be affected by </w:t>
      </w:r>
      <w:r w:rsidR="009603B0">
        <w:rPr>
          <w:sz w:val="24"/>
          <w:szCs w:val="24"/>
        </w:rPr>
        <w:t>manipulation in magnetic properties via electrochemical redox reactions.</w:t>
      </w:r>
    </w:p>
    <w:p w14:paraId="563730DE" w14:textId="384D26DA" w:rsidR="008C481D" w:rsidRDefault="004970B9" w:rsidP="003E030E">
      <w:pPr>
        <w:keepNext/>
        <w:jc w:val="center"/>
      </w:pPr>
      <w:r>
        <w:rPr>
          <w:noProof/>
        </w:rPr>
        <w:drawing>
          <wp:inline distT="0" distB="0" distL="0" distR="0" wp14:anchorId="02D8385D" wp14:editId="3E0C7E09">
            <wp:extent cx="2844880" cy="3124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973" cy="318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8472" w14:textId="506996A2" w:rsidR="00857750" w:rsidRDefault="008C481D" w:rsidP="003E030E">
      <w:pPr>
        <w:pStyle w:val="Caption"/>
        <w:jc w:val="center"/>
      </w:pPr>
      <w:r>
        <w:t>Figure S</w:t>
      </w:r>
      <w:fldSimple w:instr=" SEQ Figure \* ARABIC ">
        <w:r>
          <w:rPr>
            <w:noProof/>
          </w:rPr>
          <w:t>3</w:t>
        </w:r>
      </w:fldSimple>
      <w:r>
        <w:t>: The cyclic voltammetry test and impedance measurement that shows no effect on impedance in hydrogen evolution reaction region.</w:t>
      </w:r>
      <w:r w:rsidR="00F00639">
        <w:t xml:space="preserve"> Explain this too in the passage above. At higher voltage/current …. .</w:t>
      </w:r>
    </w:p>
    <w:p w14:paraId="349B118C" w14:textId="77777777" w:rsidR="00A85360" w:rsidRDefault="00A85360" w:rsidP="003E030E">
      <w:pPr>
        <w:jc w:val="center"/>
      </w:pPr>
    </w:p>
    <w:p w14:paraId="705A2E2F" w14:textId="75F5B0C5" w:rsidR="00A85360" w:rsidRDefault="00A85360" w:rsidP="002437BC">
      <w:pPr>
        <w:keepNext/>
      </w:pPr>
      <w:r w:rsidRPr="00AC6BA2">
        <w:rPr>
          <w:sz w:val="24"/>
          <w:szCs w:val="24"/>
        </w:rPr>
        <w:lastRenderedPageBreak/>
        <w:t xml:space="preserve">To demonstrate the surface limitation of the magnetoionic process, impedance measurements were taken at various frequencies, as shown in Figure S4. The results indicate that the impedance only changes at a frequency of 8 MHz, which corresponds to the smallest value of the skin depth. </w:t>
      </w:r>
      <w:r w:rsidR="00922DDB" w:rsidRPr="00AC6BA2">
        <w:rPr>
          <w:sz w:val="24"/>
          <w:szCs w:val="24"/>
        </w:rPr>
        <w:t>This finding suggests that a concentrated current at the surface is capable of detecting surface-limited changes in chemical compound</w:t>
      </w:r>
      <w:r w:rsidR="00922DDB">
        <w:rPr>
          <w:sz w:val="24"/>
          <w:szCs w:val="24"/>
        </w:rPr>
        <w:t xml:space="preserve">s. </w:t>
      </w:r>
      <w:r w:rsidR="005D0D64">
        <w:rPr>
          <w:sz w:val="24"/>
          <w:szCs w:val="24"/>
        </w:rPr>
        <w:t xml:space="preserve">As a consequence, the evolution of </w:t>
      </w:r>
      <w:r w:rsidR="00922DDB">
        <w:rPr>
          <w:sz w:val="24"/>
          <w:szCs w:val="24"/>
        </w:rPr>
        <w:t>magnetic properties in a high permeability magnetic material</w:t>
      </w:r>
      <w:r w:rsidR="005D0D64">
        <w:rPr>
          <w:sz w:val="24"/>
          <w:szCs w:val="24"/>
        </w:rPr>
        <w:t xml:space="preserve"> could be detected in a skin effect-mediated magnetoionic</w:t>
      </w:r>
      <w:r w:rsidR="00922DDB">
        <w:rPr>
          <w:sz w:val="24"/>
          <w:szCs w:val="24"/>
        </w:rPr>
        <w:t xml:space="preserve"> approach. </w:t>
      </w:r>
    </w:p>
    <w:p w14:paraId="082227D0" w14:textId="3BFCE7EC" w:rsidR="008C481D" w:rsidRDefault="00857750" w:rsidP="003E030E">
      <w:pPr>
        <w:keepNext/>
        <w:jc w:val="center"/>
      </w:pPr>
      <w:r>
        <w:rPr>
          <w:noProof/>
        </w:rPr>
        <w:drawing>
          <wp:inline distT="0" distB="0" distL="0" distR="0" wp14:anchorId="7037D22B" wp14:editId="6D99BB13">
            <wp:extent cx="2647950" cy="2647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851" cy="265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029A4" w14:textId="77777777" w:rsidR="00371D6E" w:rsidRDefault="008C481D" w:rsidP="003E030E">
      <w:pPr>
        <w:pStyle w:val="Caption"/>
        <w:jc w:val="center"/>
      </w:pPr>
      <w:r>
        <w:t>Figure S</w:t>
      </w:r>
      <w:fldSimple w:instr=" SEQ Figure \* ARABIC ">
        <w:r>
          <w:rPr>
            <w:noProof/>
          </w:rPr>
          <w:t>4</w:t>
        </w:r>
      </w:fldSimple>
      <w:r>
        <w:t>: The impedance measurement at two oxidation and reduction states which has been done at different frequencies.</w:t>
      </w:r>
    </w:p>
    <w:p w14:paraId="2FD5AFDE" w14:textId="1DDB09E1" w:rsidR="00371D6E" w:rsidRDefault="00371D6E" w:rsidP="003E030E">
      <w:pPr>
        <w:pStyle w:val="Caption"/>
        <w:jc w:val="center"/>
      </w:pPr>
    </w:p>
    <w:p w14:paraId="28AB06D5" w14:textId="77777777" w:rsidR="00371D6E" w:rsidRPr="00371D6E" w:rsidRDefault="00371D6E" w:rsidP="002437BC">
      <w:pPr>
        <w:pStyle w:val="EndNoteBibliography"/>
        <w:ind w:left="720" w:hanging="720"/>
        <w:jc w:val="left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371D6E">
        <w:t>1.</w:t>
      </w:r>
      <w:r w:rsidRPr="00371D6E">
        <w:tab/>
        <w:t xml:space="preserve">Hajiali, M., et al., </w:t>
      </w:r>
      <w:r w:rsidRPr="00371D6E">
        <w:rPr>
          <w:i/>
        </w:rPr>
        <w:t>Spin-orbit-torque driven magnetoimpedance in Pt-layer/magnetic-ribbon heterostructures.</w:t>
      </w:r>
      <w:r w:rsidRPr="00371D6E">
        <w:t xml:space="preserve"> Applied Physics Letters, 2017. </w:t>
      </w:r>
      <w:r w:rsidRPr="00371D6E">
        <w:rPr>
          <w:b/>
        </w:rPr>
        <w:t>111</w:t>
      </w:r>
      <w:r w:rsidRPr="00371D6E">
        <w:t>(19): p. 192405.</w:t>
      </w:r>
    </w:p>
    <w:p w14:paraId="78180145" w14:textId="4127A328" w:rsidR="00857750" w:rsidRDefault="00371D6E" w:rsidP="002437BC">
      <w:pPr>
        <w:pStyle w:val="Caption"/>
      </w:pPr>
      <w:r>
        <w:fldChar w:fldCharType="end"/>
      </w:r>
    </w:p>
    <w:sectPr w:rsidR="00857750" w:rsidSect="002437BC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vOT1ef757c0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vx59fafvtfdxe52zsxst0kderd5ar255d5&quot;&gt;My EndNote Library&lt;record-ids&gt;&lt;item&gt;2&lt;/item&gt;&lt;/record-ids&gt;&lt;/item&gt;&lt;/Libraries&gt;"/>
  </w:docVars>
  <w:rsids>
    <w:rsidRoot w:val="00857750"/>
    <w:rsid w:val="000564F6"/>
    <w:rsid w:val="00082F7C"/>
    <w:rsid w:val="00087CEA"/>
    <w:rsid w:val="001A4A23"/>
    <w:rsid w:val="001E64E8"/>
    <w:rsid w:val="002437BC"/>
    <w:rsid w:val="002C7276"/>
    <w:rsid w:val="002D6E4B"/>
    <w:rsid w:val="00305ADE"/>
    <w:rsid w:val="0035408C"/>
    <w:rsid w:val="00367735"/>
    <w:rsid w:val="00371CB4"/>
    <w:rsid w:val="00371D6E"/>
    <w:rsid w:val="003E030E"/>
    <w:rsid w:val="004970B9"/>
    <w:rsid w:val="005D0D64"/>
    <w:rsid w:val="006841D3"/>
    <w:rsid w:val="007724EA"/>
    <w:rsid w:val="00857750"/>
    <w:rsid w:val="008930D8"/>
    <w:rsid w:val="008C481D"/>
    <w:rsid w:val="008E773E"/>
    <w:rsid w:val="00922DDB"/>
    <w:rsid w:val="009603B0"/>
    <w:rsid w:val="00962F11"/>
    <w:rsid w:val="00A25766"/>
    <w:rsid w:val="00A85360"/>
    <w:rsid w:val="00AC6BA2"/>
    <w:rsid w:val="00AD6A1C"/>
    <w:rsid w:val="00B52108"/>
    <w:rsid w:val="00B86E86"/>
    <w:rsid w:val="00BA7FA2"/>
    <w:rsid w:val="00BD6DFF"/>
    <w:rsid w:val="00C87018"/>
    <w:rsid w:val="00CF48E4"/>
    <w:rsid w:val="00F00639"/>
    <w:rsid w:val="00FB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99CF4"/>
  <w15:chartTrackingRefBased/>
  <w15:docId w15:val="{C5838527-12CB-476B-A12D-080A30CF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C48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D6E4B"/>
    <w:rPr>
      <w:color w:val="808080"/>
    </w:rPr>
  </w:style>
  <w:style w:type="character" w:customStyle="1" w:styleId="fontstyle01">
    <w:name w:val="fontstyle01"/>
    <w:basedOn w:val="DefaultParagraphFont"/>
    <w:rsid w:val="002D6E4B"/>
    <w:rPr>
      <w:rFonts w:ascii="AdvOT1ef757c0" w:hAnsi="AdvOT1ef757c0" w:hint="default"/>
      <w:b w:val="0"/>
      <w:bCs w:val="0"/>
      <w:i w:val="0"/>
      <w:iCs w:val="0"/>
      <w:color w:val="24202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C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B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71D6E"/>
    <w:pPr>
      <w:spacing w:after="0"/>
      <w:jc w:val="center"/>
    </w:pPr>
    <w:rPr>
      <w:rFonts w:ascii="Calibri" w:hAnsi="Calibri"/>
      <w:noProof/>
      <w:sz w:val="1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71D6E"/>
    <w:rPr>
      <w:rFonts w:ascii="Calibri" w:hAnsi="Calibri"/>
      <w:noProof/>
      <w:sz w:val="18"/>
    </w:rPr>
  </w:style>
  <w:style w:type="paragraph" w:customStyle="1" w:styleId="EndNoteBibliography">
    <w:name w:val="EndNote Bibliography"/>
    <w:basedOn w:val="Normal"/>
    <w:link w:val="EndNoteBibliographyChar"/>
    <w:rsid w:val="00371D6E"/>
    <w:pPr>
      <w:spacing w:line="240" w:lineRule="auto"/>
      <w:jc w:val="center"/>
    </w:pPr>
    <w:rPr>
      <w:rFonts w:ascii="Calibri" w:hAnsi="Calibri"/>
      <w:noProof/>
      <w:sz w:val="18"/>
    </w:rPr>
  </w:style>
  <w:style w:type="character" w:customStyle="1" w:styleId="EndNoteBibliographyChar">
    <w:name w:val="EndNote Bibliography Char"/>
    <w:basedOn w:val="DefaultParagraphFont"/>
    <w:link w:val="EndNoteBibliography"/>
    <w:rsid w:val="00371D6E"/>
    <w:rPr>
      <w:rFonts w:ascii="Calibri" w:hAnsi="Calibri"/>
      <w:noProof/>
      <w:sz w:val="18"/>
    </w:rPr>
  </w:style>
  <w:style w:type="character" w:styleId="Hyperlink">
    <w:name w:val="Hyperlink"/>
    <w:basedOn w:val="DefaultParagraphFont"/>
    <w:uiPriority w:val="99"/>
    <w:unhideWhenUsed/>
    <w:rsid w:val="002C72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-mohseni@sbu.ac.i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40731-ED3D-456C-9269-E5B2738D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</dc:creator>
  <cp:keywords/>
  <dc:description/>
  <cp:lastModifiedBy>Vahid</cp:lastModifiedBy>
  <cp:revision>20</cp:revision>
  <dcterms:created xsi:type="dcterms:W3CDTF">2023-05-18T11:26:00Z</dcterms:created>
  <dcterms:modified xsi:type="dcterms:W3CDTF">2023-06-11T17:14:00Z</dcterms:modified>
</cp:coreProperties>
</file>