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textAlignment w:val="baseline"/>
        <w:rPr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bookmarkStart w:id="3" w:name="_GoBack"/>
      <w:bookmarkEnd w:id="3"/>
      <w:r>
        <w:rPr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Supplementary material</w:t>
      </w:r>
    </w:p>
    <w:p>
      <w:pPr>
        <w:spacing w:line="240" w:lineRule="auto"/>
        <w:ind w:firstLine="0" w:firstLineChars="0"/>
        <w:jc w:val="left"/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Table S</w:t>
      </w:r>
      <w:r>
        <w:rPr>
          <w:rFonts w:hint="eastAsia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</w:t>
      </w:r>
      <w:r>
        <w:rPr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Effects of individual</w:t>
      </w:r>
      <w:r>
        <w:rPr>
          <w:sz w:val="21"/>
          <w:szCs w:val="21"/>
        </w:rPr>
        <w:t xml:space="preserve"> (n = 24)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boldness (bold and shy), </w:t>
      </w:r>
      <w:r>
        <w:rPr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food patch type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(UC and NC), and sex (male and female) on foraging behavior of Mongolian gerbils (</w:t>
      </w:r>
      <w:r>
        <w:rPr>
          <w:i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Meriones unguiculatus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) observed</w:t>
      </w:r>
      <w:r>
        <w:rPr>
          <w:color w:val="FF0000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in field enclosures from mid-September 2019 to mid-October 2019 in Taibusi Qi, Inner Mongolia, China</w:t>
      </w:r>
    </w:p>
    <w:tbl>
      <w:tblPr>
        <w:tblStyle w:val="5"/>
        <w:tblW w:w="952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3459"/>
        <w:gridCol w:w="1110"/>
        <w:gridCol w:w="1024"/>
        <w:gridCol w:w="1024"/>
        <w:gridCol w:w="11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Behavior type</w:t>
            </w:r>
          </w:p>
        </w:tc>
        <w:tc>
          <w:tcPr>
            <w:tcW w:w="3459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Posterior mean</w:t>
            </w:r>
          </w:p>
        </w:tc>
        <w:tc>
          <w:tcPr>
            <w:tcW w:w="1024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Lower 95% CI</w:t>
            </w:r>
          </w:p>
        </w:tc>
        <w:tc>
          <w:tcPr>
            <w:tcW w:w="1024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Upper 95% CI</w:t>
            </w:r>
          </w:p>
        </w:tc>
        <w:tc>
          <w:tcPr>
            <w:tcW w:w="1124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pMCMC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26" w:type="dxa"/>
            <w:gridSpan w:val="6"/>
            <w:tcBorders>
              <w:top w:val="single" w:color="auto" w:sz="12" w:space="0"/>
            </w:tcBorders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1"/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Foraging latency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(Intercept)</w:t>
            </w:r>
          </w:p>
        </w:tc>
        <w:tc>
          <w:tcPr>
            <w:tcW w:w="1110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5496.8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4123.6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6787.7 </w:t>
            </w:r>
          </w:p>
        </w:tc>
        <w:tc>
          <w:tcPr>
            <w:tcW w:w="11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Personality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shy</w:t>
            </w:r>
          </w:p>
        </w:tc>
        <w:tc>
          <w:tcPr>
            <w:tcW w:w="1110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-2438.9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-4133.7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-570.5 </w:t>
            </w:r>
          </w:p>
        </w:tc>
        <w:tc>
          <w:tcPr>
            <w:tcW w:w="11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Food patch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UC</w:t>
            </w:r>
          </w:p>
        </w:tc>
        <w:tc>
          <w:tcPr>
            <w:tcW w:w="1110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-1616.1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-2769.5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-577.7 </w:t>
            </w:r>
          </w:p>
        </w:tc>
        <w:tc>
          <w:tcPr>
            <w:tcW w:w="11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Sex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110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-369.0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-2515.1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1569.8 </w:t>
            </w:r>
          </w:p>
        </w:tc>
        <w:tc>
          <w:tcPr>
            <w:tcW w:w="11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Personality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shy</w:t>
            </w: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×Food patch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UC</w:t>
            </w:r>
          </w:p>
        </w:tc>
        <w:tc>
          <w:tcPr>
            <w:tcW w:w="1110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1484.6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-188.2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2868.7 </w:t>
            </w:r>
          </w:p>
        </w:tc>
        <w:tc>
          <w:tcPr>
            <w:tcW w:w="11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Personality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shy</w:t>
            </w: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×Sex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110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1266.9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-1235.1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4104.0 </w:t>
            </w:r>
          </w:p>
        </w:tc>
        <w:tc>
          <w:tcPr>
            <w:tcW w:w="11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0.386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Food patch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UC</w:t>
            </w: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×Sex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110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692.5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-981.9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2469.2 </w:t>
            </w:r>
          </w:p>
        </w:tc>
        <w:tc>
          <w:tcPr>
            <w:tcW w:w="11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Personality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shy</w:t>
            </w: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×Food patch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UC</w:t>
            </w: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×Sex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110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-1217.3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-3457.7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1196.6 </w:t>
            </w:r>
          </w:p>
        </w:tc>
        <w:tc>
          <w:tcPr>
            <w:tcW w:w="11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26" w:type="dxa"/>
            <w:gridSpan w:val="6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Foraging frequency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(Intercept)</w:t>
            </w:r>
          </w:p>
        </w:tc>
        <w:tc>
          <w:tcPr>
            <w:tcW w:w="1110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17.564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0.550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35.564 </w:t>
            </w:r>
          </w:p>
        </w:tc>
        <w:tc>
          <w:tcPr>
            <w:tcW w:w="11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Personality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shy</w:t>
            </w:r>
          </w:p>
        </w:tc>
        <w:tc>
          <w:tcPr>
            <w:tcW w:w="1110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31.579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8.261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57.032 </w:t>
            </w:r>
          </w:p>
        </w:tc>
        <w:tc>
          <w:tcPr>
            <w:tcW w:w="11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Food patch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UC</w:t>
            </w:r>
          </w:p>
        </w:tc>
        <w:tc>
          <w:tcPr>
            <w:tcW w:w="1110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14.053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-1.540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29.320 </w:t>
            </w:r>
          </w:p>
        </w:tc>
        <w:tc>
          <w:tcPr>
            <w:tcW w:w="11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Sex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110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10.722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-20.424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36.819 </w:t>
            </w:r>
          </w:p>
        </w:tc>
        <w:tc>
          <w:tcPr>
            <w:tcW w:w="11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0.444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Personality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shy</w:t>
            </w: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×Food patch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UC</w:t>
            </w:r>
          </w:p>
        </w:tc>
        <w:tc>
          <w:tcPr>
            <w:tcW w:w="1110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-11.953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-32.941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11.469 </w:t>
            </w:r>
          </w:p>
        </w:tc>
        <w:tc>
          <w:tcPr>
            <w:tcW w:w="11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Personality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shy</w:t>
            </w: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×Sex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110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-23.023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-60.990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16.014 </w:t>
            </w:r>
          </w:p>
        </w:tc>
        <w:tc>
          <w:tcPr>
            <w:tcW w:w="11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Food patch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UC</w:t>
            </w: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×Sex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110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-17.756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-42.804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7.785 </w:t>
            </w:r>
          </w:p>
        </w:tc>
        <w:tc>
          <w:tcPr>
            <w:tcW w:w="11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Personality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shy</w:t>
            </w: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×Food patch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UC</w:t>
            </w: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×Sex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110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17.317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-14.915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52.839 </w:t>
            </w:r>
          </w:p>
        </w:tc>
        <w:tc>
          <w:tcPr>
            <w:tcW w:w="11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26" w:type="dxa"/>
            <w:gridSpan w:val="6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Duration of each foraging bout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(Intercept)</w:t>
            </w:r>
          </w:p>
        </w:tc>
        <w:tc>
          <w:tcPr>
            <w:tcW w:w="1110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29.084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16.972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40.925 </w:t>
            </w:r>
          </w:p>
        </w:tc>
        <w:tc>
          <w:tcPr>
            <w:tcW w:w="11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Personality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shy</w:t>
            </w:r>
          </w:p>
        </w:tc>
        <w:tc>
          <w:tcPr>
            <w:tcW w:w="1110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16.286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2.654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31.221 </w:t>
            </w:r>
          </w:p>
        </w:tc>
        <w:tc>
          <w:tcPr>
            <w:tcW w:w="11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0.024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Food patch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UC</w:t>
            </w:r>
          </w:p>
        </w:tc>
        <w:tc>
          <w:tcPr>
            <w:tcW w:w="1110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14.792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0.756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29.207 </w:t>
            </w:r>
          </w:p>
        </w:tc>
        <w:tc>
          <w:tcPr>
            <w:tcW w:w="11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0.044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Sex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110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-2.992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-20.990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17.957 </w:t>
            </w:r>
          </w:p>
        </w:tc>
        <w:tc>
          <w:tcPr>
            <w:tcW w:w="11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0.760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Personality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shy</w:t>
            </w: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×Food patch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UC</w:t>
            </w:r>
          </w:p>
        </w:tc>
        <w:tc>
          <w:tcPr>
            <w:tcW w:w="1110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-23.310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-41.415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-4.530 </w:t>
            </w:r>
          </w:p>
        </w:tc>
        <w:tc>
          <w:tcPr>
            <w:tcW w:w="1124" w:type="dxa"/>
          </w:tcPr>
          <w:p>
            <w:pPr>
              <w:widowControl/>
              <w:spacing w:line="240" w:lineRule="auto"/>
              <w:ind w:firstLine="0" w:firstLineChars="0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0.020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Personality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shy</w:t>
            </w: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×Sex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110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-14.706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-36.846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9.859 </w:t>
            </w:r>
          </w:p>
        </w:tc>
        <w:tc>
          <w:tcPr>
            <w:tcW w:w="11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0.240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Food patch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UC</w:t>
            </w: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×Sex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110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1.146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-23.770 </w:t>
            </w:r>
          </w:p>
        </w:tc>
        <w:tc>
          <w:tcPr>
            <w:tcW w:w="10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28.267 </w:t>
            </w:r>
          </w:p>
        </w:tc>
        <w:tc>
          <w:tcPr>
            <w:tcW w:w="1124" w:type="dxa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0.910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tcBorders>
              <w:bottom w:val="single" w:color="auto" w:sz="12" w:space="0"/>
            </w:tcBorders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Personality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shy</w:t>
            </w: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×Food patch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UC</w:t>
            </w: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×Sex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110" w:type="dxa"/>
            <w:tcBorders>
              <w:bottom w:val="single" w:color="auto" w:sz="12" w:space="0"/>
            </w:tcBorders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16.975 </w:t>
            </w:r>
          </w:p>
        </w:tc>
        <w:tc>
          <w:tcPr>
            <w:tcW w:w="1024" w:type="dxa"/>
            <w:tcBorders>
              <w:bottom w:val="single" w:color="auto" w:sz="12" w:space="0"/>
            </w:tcBorders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-12.966 </w:t>
            </w:r>
          </w:p>
        </w:tc>
        <w:tc>
          <w:tcPr>
            <w:tcW w:w="1024" w:type="dxa"/>
            <w:tcBorders>
              <w:bottom w:val="single" w:color="auto" w:sz="12" w:space="0"/>
            </w:tcBorders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51.942 </w:t>
            </w:r>
          </w:p>
        </w:tc>
        <w:tc>
          <w:tcPr>
            <w:tcW w:w="1124" w:type="dxa"/>
            <w:tcBorders>
              <w:bottom w:val="single" w:color="auto" w:sz="12" w:space="0"/>
            </w:tcBorders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0.302 </w:t>
            </w:r>
          </w:p>
        </w:tc>
      </w:tr>
    </w:tbl>
    <w:p>
      <w:pPr>
        <w:spacing w:line="240" w:lineRule="auto"/>
        <w:ind w:firstLine="0" w:firstLineChars="0"/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Posterior means, 95% confidence intervals, and probability values (pMCMC) are presented. Model estimates are shown in bold when the confidence intervals do not overlap 0.</w:t>
      </w:r>
    </w:p>
    <w:p>
      <w:pPr>
        <w:spacing w:line="240" w:lineRule="auto"/>
        <w:ind w:firstLine="0" w:firstLineChars="0"/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240" w:lineRule="auto"/>
        <w:ind w:firstLine="0" w:firstLineChars="0"/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240" w:lineRule="auto"/>
        <w:ind w:firstLine="0" w:firstLineChars="0"/>
        <w:jc w:val="left"/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Table S</w:t>
      </w:r>
      <w:r>
        <w:rPr>
          <w:rFonts w:hint="eastAsia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Effects of group</w:t>
      </w:r>
      <w:r>
        <w:rPr>
          <w:sz w:val="21"/>
          <w:szCs w:val="21"/>
        </w:rPr>
        <w:t xml:space="preserve"> (n=8)</w:t>
      </w:r>
      <w:r>
        <w:rPr>
          <w:rFonts w:hint="eastAsia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boldness (boldness score) and </w:t>
      </w:r>
      <w:r>
        <w:rPr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food patch type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(UC and NC) on foraging behavior (frequency and food hoard weight) of Mongolian gerbils</w:t>
      </w:r>
      <w:r>
        <w:rPr>
          <w:i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(</w:t>
      </w:r>
      <w:r>
        <w:rPr>
          <w:i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Meriones unguiculatus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) observed in field enclosures from mid-September 2019 to mid-October 2019 in Taibusi Qi, Inner Mongolia, China</w:t>
      </w:r>
    </w:p>
    <w:tbl>
      <w:tblPr>
        <w:tblStyle w:val="5"/>
        <w:tblW w:w="880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3118"/>
        <w:gridCol w:w="1090"/>
        <w:gridCol w:w="1027"/>
        <w:gridCol w:w="1027"/>
        <w:gridCol w:w="1013"/>
        <w:gridCol w:w="1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Behavior type</w:t>
            </w:r>
          </w:p>
        </w:tc>
        <w:tc>
          <w:tcPr>
            <w:tcW w:w="3118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Posterior mean</w:t>
            </w:r>
          </w:p>
        </w:tc>
        <w:tc>
          <w:tcPr>
            <w:tcW w:w="1027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Lower 95% CI</w:t>
            </w:r>
          </w:p>
        </w:tc>
        <w:tc>
          <w:tcPr>
            <w:tcW w:w="1027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Upper 95% CI</w:t>
            </w:r>
          </w:p>
        </w:tc>
        <w:tc>
          <w:tcPr>
            <w:tcW w:w="1128" w:type="dxa"/>
            <w:gridSpan w:val="2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pMCMC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5" w:type="dxa"/>
          <w:jc w:val="center"/>
        </w:trPr>
        <w:tc>
          <w:tcPr>
            <w:tcW w:w="8693" w:type="dxa"/>
            <w:gridSpan w:val="6"/>
            <w:tcBorders>
              <w:top w:val="single" w:color="auto" w:sz="12" w:space="0"/>
            </w:tcBorders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1" w:name="OLE_LINK2"/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Foraging frequency</w:t>
            </w:r>
            <w:bookmarkEnd w:id="1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(Intercept)</w:t>
            </w:r>
          </w:p>
        </w:tc>
        <w:tc>
          <w:tcPr>
            <w:tcW w:w="1090" w:type="dxa"/>
          </w:tcPr>
          <w:p>
            <w:pPr>
              <w:spacing w:line="240" w:lineRule="auto"/>
              <w:ind w:firstLine="0" w:firstLineChars="0"/>
              <w:jc w:val="left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27.00</w:t>
            </w:r>
          </w:p>
        </w:tc>
        <w:tc>
          <w:tcPr>
            <w:tcW w:w="1027" w:type="dxa"/>
          </w:tcPr>
          <w:p>
            <w:pPr>
              <w:spacing w:line="240" w:lineRule="auto"/>
              <w:ind w:firstLine="0" w:firstLineChars="0"/>
              <w:jc w:val="left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10.22</w:t>
            </w:r>
          </w:p>
        </w:tc>
        <w:tc>
          <w:tcPr>
            <w:tcW w:w="1027" w:type="dxa"/>
          </w:tcPr>
          <w:p>
            <w:pPr>
              <w:spacing w:line="240" w:lineRule="auto"/>
              <w:ind w:firstLine="0" w:firstLineChars="0"/>
              <w:jc w:val="left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44.06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Personality</w:t>
            </w:r>
          </w:p>
        </w:tc>
        <w:tc>
          <w:tcPr>
            <w:tcW w:w="1090" w:type="dxa"/>
          </w:tcPr>
          <w:p>
            <w:pPr>
              <w:spacing w:line="240" w:lineRule="auto"/>
              <w:ind w:firstLine="0" w:firstLineChars="0"/>
              <w:jc w:val="left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18.21</w:t>
            </w:r>
          </w:p>
        </w:tc>
        <w:tc>
          <w:tcPr>
            <w:tcW w:w="1027" w:type="dxa"/>
          </w:tcPr>
          <w:p>
            <w:pPr>
              <w:spacing w:line="240" w:lineRule="auto"/>
              <w:ind w:firstLine="0" w:firstLineChars="0"/>
              <w:jc w:val="left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4.51</w:t>
            </w:r>
          </w:p>
        </w:tc>
        <w:tc>
          <w:tcPr>
            <w:tcW w:w="1027" w:type="dxa"/>
          </w:tcPr>
          <w:p>
            <w:pPr>
              <w:spacing w:line="240" w:lineRule="auto"/>
              <w:ind w:firstLine="0" w:firstLineChars="0"/>
              <w:jc w:val="left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30.92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Food patch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UC</w:t>
            </w:r>
          </w:p>
        </w:tc>
        <w:tc>
          <w:tcPr>
            <w:tcW w:w="1090" w:type="dxa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0.97</w:t>
            </w:r>
          </w:p>
        </w:tc>
        <w:tc>
          <w:tcPr>
            <w:tcW w:w="1027" w:type="dxa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-22.46</w:t>
            </w:r>
          </w:p>
        </w:tc>
        <w:tc>
          <w:tcPr>
            <w:tcW w:w="1027" w:type="dxa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24.00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Group composition</w:t>
            </w:r>
          </w:p>
        </w:tc>
        <w:tc>
          <w:tcPr>
            <w:tcW w:w="1090" w:type="dxa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17.22</w:t>
            </w:r>
          </w:p>
        </w:tc>
        <w:tc>
          <w:tcPr>
            <w:tcW w:w="1027" w:type="dxa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-7.83</w:t>
            </w:r>
          </w:p>
        </w:tc>
        <w:tc>
          <w:tcPr>
            <w:tcW w:w="1027" w:type="dxa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43.55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0.184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Personality×Food patch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UC</w:t>
            </w:r>
          </w:p>
        </w:tc>
        <w:tc>
          <w:tcPr>
            <w:tcW w:w="1090" w:type="dxa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-1.21</w:t>
            </w:r>
          </w:p>
        </w:tc>
        <w:tc>
          <w:tcPr>
            <w:tcW w:w="1027" w:type="dxa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-22.04</w:t>
            </w:r>
          </w:p>
        </w:tc>
        <w:tc>
          <w:tcPr>
            <w:tcW w:w="1027" w:type="dxa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16.05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Group composition×Food patch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UC</w:t>
            </w:r>
          </w:p>
        </w:tc>
        <w:tc>
          <w:tcPr>
            <w:tcW w:w="1090" w:type="dxa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5.40</w:t>
            </w:r>
          </w:p>
        </w:tc>
        <w:tc>
          <w:tcPr>
            <w:tcW w:w="1027" w:type="dxa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-27.68</w:t>
            </w:r>
          </w:p>
        </w:tc>
        <w:tc>
          <w:tcPr>
            <w:tcW w:w="1027" w:type="dxa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41.87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0.776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08" w:type="dxa"/>
            <w:gridSpan w:val="7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2" w:name="OLE_LINK3"/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Food hoarding weight</w:t>
            </w:r>
            <w:bookmarkEnd w:id="2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(Intercept)</w:t>
            </w:r>
          </w:p>
        </w:tc>
        <w:tc>
          <w:tcPr>
            <w:tcW w:w="1090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21.16</w:t>
            </w:r>
          </w:p>
        </w:tc>
        <w:tc>
          <w:tcPr>
            <w:tcW w:w="1027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11.14</w:t>
            </w:r>
          </w:p>
        </w:tc>
        <w:tc>
          <w:tcPr>
            <w:tcW w:w="1027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30.62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Personality</w:t>
            </w:r>
          </w:p>
        </w:tc>
        <w:tc>
          <w:tcPr>
            <w:tcW w:w="1090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12.61</w:t>
            </w:r>
          </w:p>
        </w:tc>
        <w:tc>
          <w:tcPr>
            <w:tcW w:w="1027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5.38</w:t>
            </w:r>
          </w:p>
        </w:tc>
        <w:tc>
          <w:tcPr>
            <w:tcW w:w="1027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20.50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Food patch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UC</w:t>
            </w:r>
          </w:p>
        </w:tc>
        <w:tc>
          <w:tcPr>
            <w:tcW w:w="1090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2.79</w:t>
            </w:r>
          </w:p>
        </w:tc>
        <w:tc>
          <w:tcPr>
            <w:tcW w:w="1027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-10.60</w:t>
            </w:r>
          </w:p>
        </w:tc>
        <w:tc>
          <w:tcPr>
            <w:tcW w:w="1027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15.99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0.690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Group composition</w:t>
            </w:r>
          </w:p>
        </w:tc>
        <w:tc>
          <w:tcPr>
            <w:tcW w:w="1090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8.37</w:t>
            </w:r>
          </w:p>
        </w:tc>
        <w:tc>
          <w:tcPr>
            <w:tcW w:w="1027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-5.97</w:t>
            </w:r>
          </w:p>
        </w:tc>
        <w:tc>
          <w:tcPr>
            <w:tcW w:w="1027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23.82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0.266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Personality×Food patch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UC</w:t>
            </w:r>
          </w:p>
        </w:tc>
        <w:tc>
          <w:tcPr>
            <w:tcW w:w="1090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-3.27</w:t>
            </w:r>
          </w:p>
        </w:tc>
        <w:tc>
          <w:tcPr>
            <w:tcW w:w="1027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-13.70</w:t>
            </w:r>
          </w:p>
        </w:tc>
        <w:tc>
          <w:tcPr>
            <w:tcW w:w="1027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7.89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  <w:tcBorders>
              <w:bottom w:val="single" w:color="auto" w:sz="12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Group composition×Food patch</w:t>
            </w:r>
            <w:r>
              <w:rPr>
                <w:color w:val="000000" w:themeColor="text1"/>
                <w:kern w:val="0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UC</w:t>
            </w:r>
          </w:p>
        </w:tc>
        <w:tc>
          <w:tcPr>
            <w:tcW w:w="1090" w:type="dxa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0.53</w:t>
            </w:r>
          </w:p>
        </w:tc>
        <w:tc>
          <w:tcPr>
            <w:tcW w:w="1027" w:type="dxa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-18.29</w:t>
            </w:r>
          </w:p>
        </w:tc>
        <w:tc>
          <w:tcPr>
            <w:tcW w:w="1027" w:type="dxa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21.00</w:t>
            </w:r>
          </w:p>
        </w:tc>
        <w:tc>
          <w:tcPr>
            <w:tcW w:w="1128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0.990</w:t>
            </w:r>
          </w:p>
        </w:tc>
      </w:tr>
    </w:tbl>
    <w:p>
      <w:pPr>
        <w:spacing w:line="240" w:lineRule="auto"/>
        <w:ind w:firstLine="0" w:firstLineChars="0"/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Group composition represents the proportion of bold gerbils in the group. Posterior means, 95% confidence intervals, and probability values (pMCMC) are presented. Model estimates are shown in bold when the confidence intervals do not overlap 0.</w:t>
      </w:r>
    </w:p>
    <w:p>
      <w:pPr>
        <w:spacing w:line="240" w:lineRule="auto"/>
        <w:ind w:firstLine="0" w:firstLineChars="0"/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240" w:lineRule="auto"/>
        <w:ind w:firstLine="0" w:firstLineChars="0"/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Table S</w:t>
      </w:r>
      <w:r>
        <w:rPr>
          <w:rFonts w:hint="eastAsia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3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Overall survival and reproduction by Mongolian gerbils (</w:t>
      </w:r>
      <w:r>
        <w:rPr>
          <w:i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Meriones unguiculatus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) in mid-September 2019 and May 2020 in Taibusi Qi, Inner Mongolia, China</w:t>
      </w:r>
    </w:p>
    <w:tbl>
      <w:tblPr>
        <w:tblStyle w:val="4"/>
        <w:tblW w:w="952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751"/>
        <w:gridCol w:w="1752"/>
        <w:gridCol w:w="1751"/>
        <w:gridCol w:w="17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2041" w:type="dxa"/>
            <w:vMerge w:val="restar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/>
              <w:keepLines/>
              <w:widowControl/>
              <w:spacing w:line="240" w:lineRule="auto"/>
              <w:ind w:firstLine="0" w:firstLineChars="0"/>
              <w:outlineLvl w:val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Date</w:t>
            </w:r>
          </w:p>
        </w:tc>
        <w:tc>
          <w:tcPr>
            <w:tcW w:w="2835" w:type="dxa"/>
            <w:gridSpan w:val="2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/>
              <w:keepLines/>
              <w:spacing w:line="240" w:lineRule="auto"/>
              <w:ind w:firstLine="0" w:firstLineChars="0"/>
              <w:jc w:val="center"/>
              <w:outlineLvl w:val="0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Survival</w:t>
            </w:r>
          </w:p>
        </w:tc>
        <w:tc>
          <w:tcPr>
            <w:tcW w:w="283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keepNext/>
              <w:keepLines/>
              <w:spacing w:line="240" w:lineRule="auto"/>
              <w:ind w:firstLine="0" w:firstLineChars="0"/>
              <w:jc w:val="center"/>
              <w:outlineLvl w:val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Reproduction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2041" w:type="dxa"/>
            <w:vMerge w:val="continue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418" w:type="dxa"/>
            <w:tcBorders>
              <w:bottom w:val="single" w:color="auto" w:sz="12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" w:hRule="atLeast"/>
          <w:jc w:val="center"/>
        </w:trPr>
        <w:tc>
          <w:tcPr>
            <w:tcW w:w="2041" w:type="dxa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September of 2019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</w:tcPr>
          <w:p>
            <w:pPr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1417" w:type="dxa"/>
            <w:tcBorders>
              <w:top w:val="single" w:color="auto" w:sz="12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top w:val="single" w:color="auto" w:sz="12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  <w:jc w:val="center"/>
        </w:trPr>
        <w:tc>
          <w:tcPr>
            <w:tcW w:w="2041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May of 2020</w:t>
            </w:r>
          </w:p>
        </w:tc>
        <w:tc>
          <w:tcPr>
            <w:tcW w:w="1417" w:type="dxa"/>
            <w:tcBorders>
              <w:bottom w:val="single" w:color="auto" w:sz="12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</w:tcPr>
          <w:p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17" w:type="dxa"/>
            <w:tcBorders>
              <w:bottom w:val="single" w:color="auto" w:sz="12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418" w:type="dxa"/>
            <w:tcBorders>
              <w:bottom w:val="single" w:color="auto" w:sz="12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</w:tr>
    </w:tbl>
    <w:p>
      <w:pPr>
        <w:ind w:firstLine="0" w:firstLineChars="0"/>
        <w:textAlignment w:val="baseline"/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240" w:lineRule="auto"/>
        <w:ind w:firstLine="0" w:firstLineChars="0"/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Table S4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Multiple correlations between group boldness, group composition, over-wintering survival, and reproduction in Mongolian gerbils (</w:t>
      </w:r>
      <w:r>
        <w:rPr>
          <w:i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Meriones unguiculatus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) Over-wintering survival and reproduction were determined in field enclosures in May 2020 in Taibusi Qi, Inner Mongolia, China.</w:t>
      </w:r>
    </w:p>
    <w:tbl>
      <w:tblPr>
        <w:tblStyle w:val="4"/>
        <w:tblW w:w="941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4"/>
        <w:gridCol w:w="1814"/>
        <w:gridCol w:w="1814"/>
        <w:gridCol w:w="1814"/>
        <w:gridCol w:w="18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2154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4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Survival</w:t>
            </w:r>
          </w:p>
        </w:tc>
        <w:tc>
          <w:tcPr>
            <w:tcW w:w="1814" w:type="dxa"/>
            <w:tcBorders>
              <w:top w:val="single" w:color="auto" w:sz="12" w:space="0"/>
              <w:bottom w:val="single" w:color="auto" w:sz="12" w:space="0"/>
            </w:tcBorders>
            <w:noWrap/>
            <w:vAlign w:val="center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Bold survival</w:t>
            </w:r>
          </w:p>
        </w:tc>
        <w:tc>
          <w:tcPr>
            <w:tcW w:w="1814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Shy survival</w:t>
            </w:r>
          </w:p>
        </w:tc>
        <w:tc>
          <w:tcPr>
            <w:tcW w:w="1814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Reproduction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" w:hRule="atLeast"/>
          <w:jc w:val="center"/>
        </w:trPr>
        <w:tc>
          <w:tcPr>
            <w:tcW w:w="2154" w:type="dxa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Boldness score </w:t>
            </w:r>
          </w:p>
        </w:tc>
        <w:tc>
          <w:tcPr>
            <w:tcW w:w="1814" w:type="dxa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0.807</w:t>
            </w:r>
            <w:r>
              <w:rPr>
                <w:color w:val="000000" w:themeColor="text1"/>
                <w:sz w:val="22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814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0.088</w:t>
            </w:r>
          </w:p>
        </w:tc>
        <w:tc>
          <w:tcPr>
            <w:tcW w:w="1814" w:type="dxa"/>
            <w:tcBorders>
              <w:top w:val="single" w:color="auto" w:sz="12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0.354</w:t>
            </w:r>
          </w:p>
        </w:tc>
        <w:tc>
          <w:tcPr>
            <w:tcW w:w="1814" w:type="dxa"/>
            <w:tcBorders>
              <w:top w:val="single" w:color="auto" w:sz="12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0.495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  <w:jc w:val="center"/>
        </w:trPr>
        <w:tc>
          <w:tcPr>
            <w:tcW w:w="2154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Group composition</w:t>
            </w:r>
          </w:p>
        </w:tc>
        <w:tc>
          <w:tcPr>
            <w:tcW w:w="1814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-0.259</w:t>
            </w:r>
          </w:p>
        </w:tc>
        <w:tc>
          <w:tcPr>
            <w:tcW w:w="1814" w:type="dxa"/>
            <w:tcBorders>
              <w:bottom w:val="single" w:color="auto" w:sz="12" w:space="0"/>
            </w:tcBorders>
            <w:noWrap/>
            <w:vAlign w:val="center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0.209</w:t>
            </w:r>
          </w:p>
        </w:tc>
        <w:tc>
          <w:tcPr>
            <w:tcW w:w="1814" w:type="dxa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14" w:type="dxa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-0.042</w:t>
            </w:r>
          </w:p>
        </w:tc>
      </w:tr>
    </w:tbl>
    <w:p>
      <w:pPr>
        <w:ind w:firstLine="0" w:firstLineChars="0"/>
        <w:textAlignment w:val="baseline"/>
      </w:pP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Group composition represents the proportion of bold gerbils in a group. </w:t>
      </w:r>
      <w:r>
        <w:rPr>
          <w:color w:val="000000" w:themeColor="text1"/>
          <w:sz w:val="21"/>
          <w:szCs w:val="21"/>
          <w:vertAlign w:val="superscript"/>
          <w14:textFill>
            <w14:solidFill>
              <w14:schemeClr w14:val="tx1"/>
            </w14:solidFill>
          </w14:textFill>
        </w:rPr>
        <w:t>*</w:t>
      </w:r>
      <w:r>
        <w:rPr>
          <w:i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p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&lt; 0.05.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D60"/>
    <w:rsid w:val="001A267F"/>
    <w:rsid w:val="002C584F"/>
    <w:rsid w:val="00331A2E"/>
    <w:rsid w:val="00387675"/>
    <w:rsid w:val="00414540"/>
    <w:rsid w:val="00495573"/>
    <w:rsid w:val="00612797"/>
    <w:rsid w:val="00806931"/>
    <w:rsid w:val="00817B42"/>
    <w:rsid w:val="00842686"/>
    <w:rsid w:val="00847F6D"/>
    <w:rsid w:val="00BD0D60"/>
    <w:rsid w:val="00EB24CB"/>
    <w:rsid w:val="76475519"/>
    <w:rsid w:val="7F5F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2" w:firstLineChars="20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680"/>
        <w:tab w:val="right" w:pos="9360"/>
      </w:tabs>
      <w:spacing w:line="240" w:lineRule="auto"/>
      <w:ind w:firstLine="0" w:firstLineChars="0"/>
    </w:pPr>
    <w:rPr>
      <w:sz w:val="18"/>
      <w:lang w:eastAsia="en-US"/>
    </w:rPr>
  </w:style>
  <w:style w:type="paragraph" w:styleId="3">
    <w:name w:val="header"/>
    <w:basedOn w:val="1"/>
    <w:link w:val="9"/>
    <w:qFormat/>
    <w:uiPriority w:val="0"/>
    <w:pPr>
      <w:tabs>
        <w:tab w:val="center" w:pos="4680"/>
        <w:tab w:val="right" w:pos="9360"/>
      </w:tabs>
      <w:spacing w:line="240" w:lineRule="auto"/>
      <w:ind w:firstLine="0" w:firstLineChars="0"/>
    </w:pPr>
    <w:rPr>
      <w:sz w:val="18"/>
      <w:lang w:eastAsia="en-US"/>
    </w:rPr>
  </w:style>
  <w:style w:type="table" w:styleId="5">
    <w:name w:val="Table Grid"/>
    <w:basedOn w:val="4"/>
    <w:qFormat/>
    <w:uiPriority w:val="3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line number"/>
    <w:basedOn w:val="6"/>
    <w:semiHidden/>
    <w:unhideWhenUsed/>
    <w:qFormat/>
    <w:uiPriority w:val="99"/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lang w:eastAsia="en-US"/>
    </w:rPr>
  </w:style>
  <w:style w:type="character" w:customStyle="1" w:styleId="9">
    <w:name w:val="页眉 字符"/>
    <w:basedOn w:val="6"/>
    <w:link w:val="3"/>
    <w:qFormat/>
    <w:uiPriority w:val="0"/>
    <w:rPr>
      <w:rFonts w:ascii="Times New Roman" w:hAnsi="Times New Roman" w:eastAsia="宋体" w:cs="Times New Roman"/>
      <w:sz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579</Words>
  <Characters>3262</Characters>
  <Lines>45</Lines>
  <Paragraphs>11</Paragraphs>
  <TotalTime>4</TotalTime>
  <ScaleCrop>false</ScaleCrop>
  <LinksUpToDate>false</LinksUpToDate>
  <CharactersWithSpaces>3830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2022-11-25T02:11:00Z</dcterms:created>
  <dc:creator>Ganlin</dc:creator>
  <cp:lastModifiedBy>Administrator</cp:lastModifiedBy>
  <dcterms:modified xsi:type="dcterms:W3CDTF">2023-06-01T03:44:50Z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