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72F2E" w14:textId="6EF7EB4E" w:rsidR="005214B0" w:rsidRDefault="005214B0">
      <w:r>
        <w:t>Supplementary material.</w:t>
      </w:r>
    </w:p>
    <w:p w14:paraId="4A0C3AE5" w14:textId="33636A78" w:rsidR="005214B0" w:rsidRDefault="005214B0">
      <w:r>
        <w:rPr>
          <w:noProof/>
        </w:rPr>
        <w:drawing>
          <wp:inline distT="0" distB="0" distL="0" distR="0" wp14:anchorId="32AE1A1D" wp14:editId="2C6D6D18">
            <wp:extent cx="5932370" cy="1471449"/>
            <wp:effectExtent l="0" t="0" r="0" b="0"/>
            <wp:docPr id="127003796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430" cy="1516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9D6321" w14:textId="21F99BF6" w:rsidR="005214B0" w:rsidRDefault="005214B0" w:rsidP="005214B0">
      <w:pPr>
        <w:pStyle w:val="Caption"/>
        <w:spacing w:line="480" w:lineRule="auto"/>
        <w:rPr>
          <w:rFonts w:cstheme="minorHAnsi"/>
          <w:i w:val="0"/>
          <w:iCs w:val="0"/>
          <w:noProof/>
          <w:color w:val="auto"/>
          <w:sz w:val="24"/>
          <w:szCs w:val="24"/>
        </w:rPr>
      </w:pPr>
      <w:r w:rsidRPr="005214B0">
        <w:t xml:space="preserve">Figure </w:t>
      </w:r>
      <w:r>
        <w:t>S1</w:t>
      </w:r>
      <w:r w:rsidRPr="005214B0">
        <w:t xml:space="preserve">: </w:t>
      </w:r>
      <w:r w:rsidRPr="00C90F01">
        <w:rPr>
          <w:rFonts w:cstheme="minorHAnsi"/>
          <w:i w:val="0"/>
          <w:iCs w:val="0"/>
          <w:noProof/>
          <w:color w:val="auto"/>
          <w:sz w:val="24"/>
          <w:szCs w:val="24"/>
        </w:rPr>
        <w:t>The images show analysis of the TMV-epitope constructs using SDS PAGE</w:t>
      </w:r>
      <w:r>
        <w:rPr>
          <w:rFonts w:cstheme="minorHAnsi"/>
          <w:i w:val="0"/>
          <w:iCs w:val="0"/>
          <w:noProof/>
          <w:color w:val="auto"/>
          <w:sz w:val="24"/>
          <w:szCs w:val="24"/>
        </w:rPr>
        <w:t xml:space="preserve"> (A);</w:t>
      </w:r>
      <w:r w:rsidRPr="00C90F01">
        <w:rPr>
          <w:rFonts w:cstheme="minorHAnsi"/>
          <w:i w:val="0"/>
          <w:iCs w:val="0"/>
          <w:noProof/>
          <w:color w:val="auto"/>
          <w:sz w:val="24"/>
          <w:szCs w:val="24"/>
        </w:rPr>
        <w:t xml:space="preserve"> </w:t>
      </w:r>
      <w:r>
        <w:rPr>
          <w:rFonts w:cstheme="minorHAnsi"/>
          <w:i w:val="0"/>
          <w:iCs w:val="0"/>
          <w:noProof/>
          <w:color w:val="auto"/>
          <w:sz w:val="24"/>
          <w:szCs w:val="24"/>
        </w:rPr>
        <w:t>w</w:t>
      </w:r>
      <w:r w:rsidRPr="00C90F01">
        <w:rPr>
          <w:rFonts w:cstheme="minorHAnsi"/>
          <w:i w:val="0"/>
          <w:iCs w:val="0"/>
          <w:noProof/>
          <w:color w:val="auto"/>
          <w:sz w:val="24"/>
          <w:szCs w:val="24"/>
        </w:rPr>
        <w:t>estern blots were carried out using either anti-TMV (</w:t>
      </w:r>
      <w:r>
        <w:rPr>
          <w:rFonts w:cstheme="minorHAnsi"/>
          <w:i w:val="0"/>
          <w:iCs w:val="0"/>
          <w:noProof/>
          <w:color w:val="auto"/>
          <w:sz w:val="24"/>
          <w:szCs w:val="24"/>
        </w:rPr>
        <w:t>B</w:t>
      </w:r>
      <w:r w:rsidRPr="00C90F01">
        <w:rPr>
          <w:rFonts w:cstheme="minorHAnsi"/>
          <w:i w:val="0"/>
          <w:iCs w:val="0"/>
          <w:noProof/>
          <w:color w:val="auto"/>
          <w:sz w:val="24"/>
          <w:szCs w:val="24"/>
        </w:rPr>
        <w:t>); or anti-SARS-CoV2 S (</w:t>
      </w:r>
      <w:r>
        <w:rPr>
          <w:rFonts w:cstheme="minorHAnsi"/>
          <w:i w:val="0"/>
          <w:iCs w:val="0"/>
          <w:noProof/>
          <w:color w:val="auto"/>
          <w:sz w:val="24"/>
          <w:szCs w:val="24"/>
        </w:rPr>
        <w:t>C</w:t>
      </w:r>
      <w:r w:rsidRPr="00C90F01">
        <w:rPr>
          <w:rFonts w:cstheme="minorHAnsi"/>
          <w:i w:val="0"/>
          <w:iCs w:val="0"/>
          <w:noProof/>
          <w:color w:val="auto"/>
          <w:sz w:val="24"/>
          <w:szCs w:val="24"/>
        </w:rPr>
        <w:t>) polyclonal antibody. The blots were loaded as follows: Lane 1: Prestained molecular weight marker (BioRad). Lane 2: TMV-A, Lane 3 TMV-D, Lane 4: TMV-F, Lane 5: TMV-H, Lane 6: TMV-H, Lane 7: TMV-L, Lane 8: TMV-S21P2, Lane 9:</w:t>
      </w:r>
      <w:r w:rsidRPr="005214B0">
        <w:rPr>
          <w:rFonts w:cstheme="minorHAnsi"/>
          <w:i w:val="0"/>
          <w:iCs w:val="0"/>
          <w:noProof/>
          <w:color w:val="auto"/>
          <w:sz w:val="24"/>
          <w:szCs w:val="24"/>
        </w:rPr>
        <w:t xml:space="preserve"> </w:t>
      </w:r>
      <w:r w:rsidRPr="00C90F01">
        <w:rPr>
          <w:rFonts w:cstheme="minorHAnsi"/>
          <w:i w:val="0"/>
          <w:iCs w:val="0"/>
          <w:noProof/>
          <w:color w:val="auto"/>
          <w:sz w:val="24"/>
          <w:szCs w:val="24"/>
        </w:rPr>
        <w:t>SARS-CoV2 spike protein, Lane 10:. Ladder</w:t>
      </w:r>
    </w:p>
    <w:p w14:paraId="50E2EE64" w14:textId="77777777" w:rsidR="005214B0" w:rsidRPr="005214B0" w:rsidRDefault="005214B0" w:rsidP="005214B0">
      <w:pPr>
        <w:rPr>
          <w:lang w:val="en-ZW"/>
        </w:rPr>
      </w:pPr>
    </w:p>
    <w:p w14:paraId="0F75AAEF" w14:textId="58C59A76" w:rsidR="005214B0" w:rsidRDefault="005214B0">
      <w:r>
        <w:rPr>
          <w:noProof/>
        </w:rPr>
        <w:drawing>
          <wp:inline distT="0" distB="0" distL="0" distR="0" wp14:anchorId="2FC37BAE" wp14:editId="3797E0EF">
            <wp:extent cx="2555562" cy="1860331"/>
            <wp:effectExtent l="0" t="0" r="0" b="6985"/>
            <wp:docPr id="774319690" name="Picture 1" descr="A picture containing screenshot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319690" name="Picture 1" descr="A picture containing screenshot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610" cy="1884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7016D9" w14:textId="3B638817" w:rsidR="005214B0" w:rsidRPr="00C90F01" w:rsidRDefault="005214B0" w:rsidP="005214B0">
      <w:pPr>
        <w:pStyle w:val="Caption"/>
        <w:spacing w:line="480" w:lineRule="auto"/>
        <w:rPr>
          <w:rFonts w:cstheme="minorHAnsi"/>
          <w:i w:val="0"/>
          <w:iCs w:val="0"/>
          <w:color w:val="auto"/>
          <w:sz w:val="24"/>
          <w:szCs w:val="24"/>
        </w:rPr>
      </w:pPr>
      <w:r w:rsidRPr="00C90F01">
        <w:rPr>
          <w:rFonts w:cstheme="minorHAnsi"/>
          <w:i w:val="0"/>
          <w:iCs w:val="0"/>
          <w:color w:val="auto"/>
          <w:sz w:val="24"/>
          <w:szCs w:val="24"/>
        </w:rPr>
        <w:t xml:space="preserve">Figure </w:t>
      </w:r>
      <w:r>
        <w:rPr>
          <w:rFonts w:cstheme="minorHAnsi"/>
          <w:i w:val="0"/>
          <w:iCs w:val="0"/>
          <w:color w:val="auto"/>
          <w:sz w:val="24"/>
          <w:szCs w:val="24"/>
        </w:rPr>
        <w:t>S2</w:t>
      </w:r>
      <w:r w:rsidRPr="00C90F01">
        <w:rPr>
          <w:rFonts w:cstheme="minorHAnsi"/>
          <w:i w:val="0"/>
          <w:iCs w:val="0"/>
          <w:color w:val="auto"/>
          <w:sz w:val="24"/>
          <w:szCs w:val="24"/>
        </w:rPr>
        <w:t>: Coomassie-stained SDS PAGE showing the stability of the three TMV-epitope fusions that elicited neutralizing antibodies in mice after storage at -20</w:t>
      </w:r>
      <w:bookmarkStart w:id="0" w:name="_Hlk135659838"/>
      <w:r w:rsidRPr="00C90F01">
        <w:rPr>
          <w:rFonts w:cstheme="minorHAnsi"/>
          <w:i w:val="0"/>
          <w:iCs w:val="0"/>
          <w:color w:val="auto"/>
          <w:sz w:val="24"/>
          <w:szCs w:val="24"/>
        </w:rPr>
        <w:t>°C</w:t>
      </w:r>
      <w:bookmarkEnd w:id="0"/>
      <w:r w:rsidRPr="00C90F01">
        <w:rPr>
          <w:rFonts w:cstheme="minorHAnsi"/>
          <w:i w:val="0"/>
          <w:iCs w:val="0"/>
          <w:color w:val="auto"/>
          <w:sz w:val="24"/>
          <w:szCs w:val="24"/>
        </w:rPr>
        <w:t xml:space="preserve">, 4°C, 25°C and 37°C for 28°C days. </w:t>
      </w:r>
    </w:p>
    <w:p w14:paraId="07294A2A" w14:textId="77777777" w:rsidR="005214B0" w:rsidRDefault="005214B0"/>
    <w:sectPr w:rsidR="005214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2MjEyMzAwMzQ2NTJQ0lEKTi0uzszPAykwrAUAmEm+1SwAAAA="/>
  </w:docVars>
  <w:rsids>
    <w:rsidRoot w:val="005214B0"/>
    <w:rsid w:val="0052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E429E"/>
  <w15:chartTrackingRefBased/>
  <w15:docId w15:val="{BF80BAA3-6774-4435-AF69-A845FB0B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214B0"/>
    <w:pPr>
      <w:spacing w:after="200" w:line="240" w:lineRule="auto"/>
    </w:pPr>
    <w:rPr>
      <w:i/>
      <w:iCs/>
      <w:color w:val="44546A" w:themeColor="text2"/>
      <w:kern w:val="0"/>
      <w:sz w:val="18"/>
      <w:szCs w:val="18"/>
      <w:lang w:val="en-Z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Kelvin Phiri</dc:creator>
  <cp:keywords/>
  <dc:description/>
  <cp:lastModifiedBy>Kelvin Phiri</cp:lastModifiedBy>
  <cp:revision>1</cp:revision>
  <dcterms:created xsi:type="dcterms:W3CDTF">2023-06-15T17:37:00Z</dcterms:created>
  <dcterms:modified xsi:type="dcterms:W3CDTF">2023-06-15T20:37:00Z</dcterms:modified>
</cp:coreProperties>
</file>