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8A44B" w14:textId="77777777" w:rsidR="00C72EAA" w:rsidRPr="00022A2E" w:rsidRDefault="00C72EAA" w:rsidP="00C72EAA">
      <w:pPr>
        <w:keepNext/>
        <w:pBdr>
          <w:top w:val="nil"/>
          <w:left w:val="nil"/>
          <w:bottom w:val="nil"/>
          <w:right w:val="nil"/>
          <w:between w:val="nil"/>
        </w:pBdr>
        <w:spacing w:before="240" w:after="60"/>
        <w:contextualSpacing/>
        <w:rPr>
          <w:rFonts w:ascii="Arial" w:hAnsi="Arial" w:cs="Arial"/>
          <w:b/>
          <w:bCs/>
          <w:color w:val="000000" w:themeColor="text1"/>
          <w:sz w:val="20"/>
          <w:szCs w:val="20"/>
        </w:rPr>
      </w:pPr>
      <w:r w:rsidRPr="00022A2E">
        <w:rPr>
          <w:rFonts w:ascii="Arial" w:hAnsi="Arial" w:cs="Arial"/>
          <w:b/>
          <w:bCs/>
          <w:color w:val="000000" w:themeColor="text1"/>
          <w:sz w:val="20"/>
          <w:szCs w:val="20"/>
        </w:rPr>
        <w:t>Supplementary figures:</w:t>
      </w:r>
    </w:p>
    <w:p w14:paraId="7613B81F" w14:textId="77777777" w:rsidR="00C72EAA" w:rsidRPr="00022A2E" w:rsidRDefault="00C72EAA" w:rsidP="00C72EAA">
      <w:pPr>
        <w:keepNext/>
        <w:pBdr>
          <w:top w:val="nil"/>
          <w:left w:val="nil"/>
          <w:bottom w:val="nil"/>
          <w:right w:val="nil"/>
          <w:between w:val="nil"/>
        </w:pBdr>
        <w:spacing w:before="240" w:after="60"/>
        <w:contextualSpacing/>
        <w:rPr>
          <w:rFonts w:ascii="Arial" w:hAnsi="Arial" w:cs="Arial"/>
          <w:color w:val="000000" w:themeColor="text1"/>
          <w:sz w:val="20"/>
          <w:szCs w:val="20"/>
        </w:rPr>
      </w:pPr>
      <w:r w:rsidRPr="00022A2E">
        <w:rPr>
          <w:noProof/>
          <w:color w:val="000000" w:themeColor="text1"/>
        </w:rPr>
        <w:t xml:space="preserve"> </w:t>
      </w:r>
      <w:r w:rsidRPr="001D4817">
        <w:rPr>
          <w:noProof/>
          <w:color w:val="000000" w:themeColor="text1"/>
        </w:rPr>
        <w:drawing>
          <wp:inline distT="0" distB="0" distL="0" distR="0" wp14:anchorId="52B21AE8" wp14:editId="15BF1525">
            <wp:extent cx="2517905" cy="5458691"/>
            <wp:effectExtent l="0" t="0" r="0" b="2540"/>
            <wp:docPr id="23" name="Picture 23"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diagram, screenshot, line&#10;&#10;Description automatically generated"/>
                    <pic:cNvPicPr/>
                  </pic:nvPicPr>
                  <pic:blipFill>
                    <a:blip r:embed="rId7"/>
                    <a:stretch>
                      <a:fillRect/>
                    </a:stretch>
                  </pic:blipFill>
                  <pic:spPr>
                    <a:xfrm>
                      <a:off x="0" y="0"/>
                      <a:ext cx="2521953" cy="5467467"/>
                    </a:xfrm>
                    <a:prstGeom prst="rect">
                      <a:avLst/>
                    </a:prstGeom>
                  </pic:spPr>
                </pic:pic>
              </a:graphicData>
            </a:graphic>
          </wp:inline>
        </w:drawing>
      </w:r>
    </w:p>
    <w:p w14:paraId="6D8B6629" w14:textId="77777777" w:rsidR="00C72EAA" w:rsidRPr="00022A2E" w:rsidRDefault="00C72EAA" w:rsidP="00C72EAA">
      <w:pPr>
        <w:keepNext/>
        <w:pBdr>
          <w:top w:val="nil"/>
          <w:left w:val="nil"/>
          <w:bottom w:val="nil"/>
          <w:right w:val="nil"/>
          <w:between w:val="nil"/>
        </w:pBdr>
        <w:spacing w:before="240" w:after="60"/>
        <w:contextualSpacing/>
        <w:rPr>
          <w:rFonts w:ascii="Arial" w:hAnsi="Arial" w:cs="Arial"/>
          <w:bCs/>
          <w:color w:val="000000" w:themeColor="text1"/>
          <w:sz w:val="20"/>
          <w:szCs w:val="20"/>
        </w:rPr>
      </w:pPr>
      <w:r w:rsidRPr="00022A2E">
        <w:rPr>
          <w:rFonts w:ascii="Arial" w:hAnsi="Arial" w:cs="Arial"/>
          <w:b/>
          <w:color w:val="000000" w:themeColor="text1"/>
          <w:sz w:val="20"/>
          <w:szCs w:val="20"/>
        </w:rPr>
        <w:t xml:space="preserve">Figure S1 </w:t>
      </w:r>
      <w:r w:rsidRPr="00022A2E">
        <w:rPr>
          <w:rFonts w:ascii="Arial" w:hAnsi="Arial" w:cs="Arial"/>
          <w:bCs/>
          <w:color w:val="000000" w:themeColor="text1"/>
          <w:sz w:val="20"/>
          <w:szCs w:val="20"/>
        </w:rPr>
        <w:t xml:space="preserve">Modeled analytical convolution of sharp interfaces. </w:t>
      </w:r>
      <w:r>
        <w:rPr>
          <w:rFonts w:ascii="Arial" w:hAnsi="Arial" w:cs="Arial"/>
          <w:bCs/>
          <w:color w:val="000000" w:themeColor="text1"/>
          <w:sz w:val="20"/>
          <w:szCs w:val="20"/>
        </w:rPr>
        <w:t>a</w:t>
      </w:r>
      <w:r w:rsidRPr="00022A2E">
        <w:rPr>
          <w:rFonts w:ascii="Arial" w:hAnsi="Arial" w:cs="Arial"/>
          <w:bCs/>
          <w:color w:val="000000" w:themeColor="text1"/>
          <w:sz w:val="20"/>
          <w:szCs w:val="20"/>
        </w:rPr>
        <w:t xml:space="preserve">) Convolution of a sharp vertical interface. An electron microprobe beam excites a sample volume (the activation volume) that is larger than the beam spot. Due to convolution, the profile that is obtained will appear wider compared to the true profile. The amount of convolution depends largely on the accelerating voltage. A voltage of 10 kV has a smaller activation volume than 15 kV, leading to less convolution. The diameter of the activation volumes is determined following refs. </w:t>
      </w:r>
      <w:r>
        <w:rPr>
          <w:rFonts w:ascii="Arial" w:hAnsi="Arial" w:cs="Arial"/>
          <w:bCs/>
          <w:color w:val="000000" w:themeColor="text1"/>
          <w:sz w:val="20"/>
          <w:szCs w:val="20"/>
        </w:rPr>
        <w:t>1</w:t>
      </w:r>
      <w:r w:rsidRPr="00022A2E">
        <w:rPr>
          <w:rFonts w:ascii="Arial" w:hAnsi="Arial" w:cs="Arial"/>
          <w:bCs/>
          <w:color w:val="000000" w:themeColor="text1"/>
          <w:sz w:val="20"/>
          <w:szCs w:val="20"/>
        </w:rPr>
        <w:t xml:space="preserve"> and </w:t>
      </w:r>
      <w:r>
        <w:rPr>
          <w:rFonts w:ascii="Arial" w:hAnsi="Arial" w:cs="Arial"/>
          <w:bCs/>
          <w:color w:val="000000" w:themeColor="text1"/>
          <w:sz w:val="20"/>
          <w:szCs w:val="20"/>
        </w:rPr>
        <w:t>2</w:t>
      </w:r>
      <w:r w:rsidRPr="00022A2E">
        <w:rPr>
          <w:rFonts w:ascii="Arial" w:hAnsi="Arial" w:cs="Arial"/>
          <w:bCs/>
          <w:color w:val="000000" w:themeColor="text1"/>
          <w:sz w:val="20"/>
          <w:szCs w:val="20"/>
        </w:rPr>
        <w:t xml:space="preserve"> using a general </w:t>
      </w:r>
      <w:proofErr w:type="spellStart"/>
      <w:r w:rsidRPr="00022A2E">
        <w:rPr>
          <w:rFonts w:ascii="Arial" w:hAnsi="Arial" w:cs="Arial"/>
          <w:bCs/>
          <w:color w:val="000000" w:themeColor="text1"/>
          <w:sz w:val="20"/>
          <w:szCs w:val="20"/>
        </w:rPr>
        <w:t>Alm</w:t>
      </w:r>
      <w:proofErr w:type="spellEnd"/>
      <w:r w:rsidRPr="00022A2E">
        <w:rPr>
          <w:rFonts w:ascii="Arial" w:hAnsi="Arial" w:cs="Arial"/>
          <w:bCs/>
          <w:color w:val="000000" w:themeColor="text1"/>
          <w:sz w:val="20"/>
          <w:szCs w:val="20"/>
        </w:rPr>
        <w:t xml:space="preserve">-rich garnet composition and the convolved profiles are calculated following ref. </w:t>
      </w:r>
      <w:r>
        <w:rPr>
          <w:rFonts w:ascii="Arial" w:hAnsi="Arial" w:cs="Arial"/>
          <w:bCs/>
          <w:color w:val="000000" w:themeColor="text1"/>
          <w:sz w:val="20"/>
          <w:szCs w:val="20"/>
        </w:rPr>
        <w:t>3</w:t>
      </w:r>
      <w:r w:rsidRPr="00022A2E">
        <w:rPr>
          <w:rFonts w:ascii="Arial" w:hAnsi="Arial" w:cs="Arial"/>
          <w:bCs/>
          <w:color w:val="000000" w:themeColor="text1"/>
          <w:sz w:val="20"/>
          <w:szCs w:val="20"/>
        </w:rPr>
        <w:t xml:space="preserve">. </w:t>
      </w:r>
      <w:r>
        <w:rPr>
          <w:rFonts w:ascii="Arial" w:hAnsi="Arial" w:cs="Arial"/>
          <w:bCs/>
          <w:color w:val="000000" w:themeColor="text1"/>
          <w:sz w:val="20"/>
          <w:szCs w:val="20"/>
        </w:rPr>
        <w:t>b</w:t>
      </w:r>
      <w:r w:rsidRPr="00022A2E">
        <w:rPr>
          <w:rFonts w:ascii="Arial" w:hAnsi="Arial" w:cs="Arial"/>
          <w:bCs/>
          <w:color w:val="000000" w:themeColor="text1"/>
          <w:sz w:val="20"/>
          <w:szCs w:val="20"/>
        </w:rPr>
        <w:t>) If the sharp interface is tilted, then the amount of convolution will be greater than with a vertical interface, leading to an even wider apparent profile width.</w:t>
      </w:r>
    </w:p>
    <w:p w14:paraId="17DB1820" w14:textId="77777777" w:rsidR="00C72EAA" w:rsidRPr="00022A2E" w:rsidRDefault="00C72EAA" w:rsidP="00C72EAA">
      <w:pPr>
        <w:pBdr>
          <w:top w:val="nil"/>
          <w:left w:val="nil"/>
          <w:bottom w:val="nil"/>
          <w:right w:val="nil"/>
          <w:between w:val="nil"/>
        </w:pBdr>
        <w:contextualSpacing/>
        <w:rPr>
          <w:rFonts w:ascii="Arial" w:hAnsi="Arial" w:cs="Arial"/>
          <w:bCs/>
          <w:color w:val="000000" w:themeColor="text1"/>
          <w:sz w:val="20"/>
          <w:szCs w:val="20"/>
        </w:rPr>
      </w:pPr>
    </w:p>
    <w:p w14:paraId="4B394663" w14:textId="77777777" w:rsidR="00C72EAA" w:rsidRPr="00022A2E" w:rsidRDefault="00C72EAA" w:rsidP="00C72EAA">
      <w:pPr>
        <w:pBdr>
          <w:top w:val="nil"/>
          <w:left w:val="nil"/>
          <w:bottom w:val="nil"/>
          <w:right w:val="nil"/>
          <w:between w:val="nil"/>
        </w:pBdr>
        <w:contextualSpacing/>
        <w:rPr>
          <w:rFonts w:ascii="Arial" w:hAnsi="Arial" w:cs="Arial"/>
          <w:color w:val="000000" w:themeColor="text1"/>
          <w:sz w:val="20"/>
          <w:szCs w:val="20"/>
        </w:rPr>
        <w:sectPr w:rsidR="00C72EAA" w:rsidRPr="00022A2E" w:rsidSect="00C72EAA">
          <w:headerReference w:type="default" r:id="rId8"/>
          <w:footerReference w:type="default" r:id="rId9"/>
          <w:pgSz w:w="12240" w:h="15840"/>
          <w:pgMar w:top="1440" w:right="1800" w:bottom="1440" w:left="1800" w:header="720" w:footer="720" w:gutter="0"/>
          <w:cols w:space="720"/>
        </w:sectPr>
      </w:pPr>
    </w:p>
    <w:p w14:paraId="6F4E17BB" w14:textId="77777777" w:rsidR="00C72EAA" w:rsidRPr="00022A2E" w:rsidRDefault="00C72EAA" w:rsidP="00C72EAA">
      <w:pPr>
        <w:keepNext/>
        <w:pBdr>
          <w:top w:val="nil"/>
          <w:left w:val="nil"/>
          <w:bottom w:val="nil"/>
          <w:right w:val="nil"/>
          <w:between w:val="nil"/>
        </w:pBdr>
        <w:spacing w:before="240" w:after="60"/>
        <w:contextualSpacing/>
        <w:rPr>
          <w:rFonts w:ascii="Arial" w:hAnsi="Arial" w:cs="Arial"/>
          <w:color w:val="000000" w:themeColor="text1"/>
          <w:sz w:val="20"/>
          <w:szCs w:val="20"/>
        </w:rPr>
      </w:pPr>
      <w:r w:rsidRPr="00022A2E">
        <w:rPr>
          <w:rFonts w:ascii="Arial" w:hAnsi="Arial" w:cs="Arial"/>
          <w:noProof/>
          <w:color w:val="000000" w:themeColor="text1"/>
          <w:sz w:val="20"/>
          <w:szCs w:val="20"/>
        </w:rPr>
        <w:lastRenderedPageBreak/>
        <w:drawing>
          <wp:inline distT="0" distB="0" distL="0" distR="0" wp14:anchorId="5E9ADE44" wp14:editId="764DCEE3">
            <wp:extent cx="8750286" cy="3088257"/>
            <wp:effectExtent l="0" t="0" r="635" b="0"/>
            <wp:docPr id="1" name="Picture 1"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chart&#10;&#10;Description automatically generated"/>
                    <pic:cNvPicPr/>
                  </pic:nvPicPr>
                  <pic:blipFill>
                    <a:blip r:embed="rId10"/>
                    <a:stretch>
                      <a:fillRect/>
                    </a:stretch>
                  </pic:blipFill>
                  <pic:spPr>
                    <a:xfrm>
                      <a:off x="0" y="0"/>
                      <a:ext cx="8836233" cy="3118590"/>
                    </a:xfrm>
                    <a:prstGeom prst="rect">
                      <a:avLst/>
                    </a:prstGeom>
                  </pic:spPr>
                </pic:pic>
              </a:graphicData>
            </a:graphic>
          </wp:inline>
        </w:drawing>
      </w:r>
    </w:p>
    <w:p w14:paraId="21F163FC" w14:textId="77777777" w:rsidR="00C72EAA" w:rsidRPr="00022A2E" w:rsidRDefault="00C72EAA" w:rsidP="00C72EAA">
      <w:pPr>
        <w:keepNext/>
        <w:pBdr>
          <w:top w:val="nil"/>
          <w:left w:val="nil"/>
          <w:bottom w:val="nil"/>
          <w:right w:val="nil"/>
          <w:between w:val="nil"/>
        </w:pBdr>
        <w:spacing w:before="240" w:after="60"/>
        <w:contextualSpacing/>
        <w:rPr>
          <w:rFonts w:ascii="Arial" w:hAnsi="Arial" w:cs="Arial"/>
          <w:bCs/>
          <w:color w:val="000000" w:themeColor="text1"/>
          <w:sz w:val="20"/>
          <w:szCs w:val="20"/>
        </w:rPr>
        <w:sectPr w:rsidR="00C72EAA" w:rsidRPr="00022A2E" w:rsidSect="00A52BF7">
          <w:type w:val="continuous"/>
          <w:pgSz w:w="15840" w:h="12240" w:orient="landscape"/>
          <w:pgMar w:top="1800" w:right="1440" w:bottom="1800" w:left="1440" w:header="720" w:footer="720" w:gutter="0"/>
          <w:cols w:space="720"/>
        </w:sectPr>
      </w:pPr>
      <w:r w:rsidRPr="00022A2E">
        <w:rPr>
          <w:rFonts w:ascii="Arial" w:hAnsi="Arial" w:cs="Arial"/>
          <w:b/>
          <w:color w:val="000000" w:themeColor="text1"/>
          <w:sz w:val="20"/>
          <w:szCs w:val="20"/>
        </w:rPr>
        <w:t xml:space="preserve">Figure S2. </w:t>
      </w:r>
      <w:r w:rsidRPr="00022A2E">
        <w:rPr>
          <w:rFonts w:ascii="Arial" w:hAnsi="Arial" w:cs="Arial"/>
          <w:bCs/>
          <w:color w:val="000000" w:themeColor="text1"/>
          <w:sz w:val="20"/>
          <w:szCs w:val="20"/>
        </w:rPr>
        <w:t xml:space="preserve">Measured and best-fitting </w:t>
      </w:r>
      <w:r w:rsidRPr="00C34904">
        <w:rPr>
          <w:rFonts w:ascii="Arial" w:hAnsi="Arial" w:cs="Arial"/>
          <w:bCs/>
          <w:color w:val="000000" w:themeColor="text1"/>
          <w:sz w:val="20"/>
          <w:szCs w:val="20"/>
        </w:rPr>
        <w:t xml:space="preserve">modeled composition profiles (solid lines) with corresponding initial conditions (dashed lines) for a diffusion timescale of 175 </w:t>
      </w:r>
      <w:proofErr w:type="spellStart"/>
      <w:r w:rsidRPr="00C34904">
        <w:rPr>
          <w:rFonts w:ascii="Arial" w:hAnsi="Arial" w:cs="Arial"/>
          <w:bCs/>
          <w:color w:val="000000" w:themeColor="text1"/>
          <w:sz w:val="20"/>
          <w:szCs w:val="20"/>
        </w:rPr>
        <w:t>kyr</w:t>
      </w:r>
      <w:proofErr w:type="spellEnd"/>
      <w:r w:rsidRPr="00C34904">
        <w:rPr>
          <w:rFonts w:ascii="Arial" w:hAnsi="Arial" w:cs="Arial"/>
          <w:bCs/>
          <w:color w:val="000000" w:themeColor="text1"/>
          <w:sz w:val="20"/>
          <w:szCs w:val="20"/>
        </w:rPr>
        <w:t xml:space="preserve">. </w:t>
      </w:r>
      <w:r w:rsidRPr="00C34904">
        <w:rPr>
          <w:rFonts w:ascii="Arial" w:hAnsi="Arial" w:cs="Arial"/>
          <w:color w:val="000000" w:themeColor="text1"/>
          <w:sz w:val="20"/>
          <w:szCs w:val="20"/>
        </w:rPr>
        <w:t xml:space="preserve">Initial conditions are bounded between the composition ranges of </w:t>
      </w:r>
      <w:proofErr w:type="spellStart"/>
      <w:r w:rsidRPr="00C34904">
        <w:rPr>
          <w:rFonts w:ascii="Arial" w:hAnsi="Arial" w:cs="Arial"/>
          <w:i/>
          <w:iCs/>
          <w:color w:val="000000" w:themeColor="text1"/>
          <w:sz w:val="20"/>
          <w:szCs w:val="20"/>
        </w:rPr>
        <w:t>X</w:t>
      </w:r>
      <w:r w:rsidRPr="00C34904">
        <w:rPr>
          <w:rFonts w:ascii="Arial" w:hAnsi="Arial" w:cs="Arial"/>
          <w:color w:val="000000" w:themeColor="text1"/>
          <w:sz w:val="20"/>
          <w:szCs w:val="20"/>
          <w:vertAlign w:val="subscript"/>
        </w:rPr>
        <w:t>Grs</w:t>
      </w:r>
      <w:proofErr w:type="spellEnd"/>
      <w:r w:rsidRPr="00C34904">
        <w:rPr>
          <w:rFonts w:ascii="Arial" w:hAnsi="Arial" w:cs="Arial"/>
          <w:color w:val="000000" w:themeColor="text1"/>
          <w:sz w:val="20"/>
          <w:szCs w:val="20"/>
        </w:rPr>
        <w:t xml:space="preserve"> = 0.05 to 0.175, </w:t>
      </w:r>
      <w:proofErr w:type="spellStart"/>
      <w:r w:rsidRPr="00C34904">
        <w:rPr>
          <w:rFonts w:ascii="Arial" w:hAnsi="Arial" w:cs="Arial"/>
          <w:i/>
          <w:iCs/>
          <w:color w:val="000000" w:themeColor="text1"/>
          <w:sz w:val="20"/>
          <w:szCs w:val="20"/>
        </w:rPr>
        <w:t>X</w:t>
      </w:r>
      <w:r w:rsidRPr="00C34904">
        <w:rPr>
          <w:rFonts w:ascii="Arial" w:hAnsi="Arial" w:cs="Arial"/>
          <w:color w:val="000000" w:themeColor="text1"/>
          <w:sz w:val="20"/>
          <w:szCs w:val="20"/>
          <w:vertAlign w:val="subscript"/>
        </w:rPr>
        <w:t>Grs</w:t>
      </w:r>
      <w:proofErr w:type="spellEnd"/>
      <w:r w:rsidRPr="00C34904">
        <w:rPr>
          <w:rFonts w:ascii="Arial" w:hAnsi="Arial" w:cs="Arial"/>
          <w:color w:val="000000" w:themeColor="text1"/>
          <w:sz w:val="20"/>
          <w:szCs w:val="20"/>
        </w:rPr>
        <w:t xml:space="preserve"> = 0.07 to 0.14, and </w:t>
      </w:r>
      <w:proofErr w:type="spellStart"/>
      <w:r w:rsidRPr="00C34904">
        <w:rPr>
          <w:rFonts w:ascii="Arial" w:hAnsi="Arial" w:cs="Arial"/>
          <w:i/>
          <w:iCs/>
          <w:color w:val="000000" w:themeColor="text1"/>
          <w:sz w:val="20"/>
          <w:szCs w:val="20"/>
        </w:rPr>
        <w:t>X</w:t>
      </w:r>
      <w:r w:rsidRPr="00C34904">
        <w:rPr>
          <w:rFonts w:ascii="Arial" w:hAnsi="Arial" w:cs="Arial"/>
          <w:color w:val="000000" w:themeColor="text1"/>
          <w:sz w:val="20"/>
          <w:szCs w:val="20"/>
          <w:vertAlign w:val="subscript"/>
        </w:rPr>
        <w:t>Grs</w:t>
      </w:r>
      <w:proofErr w:type="spellEnd"/>
      <w:r w:rsidRPr="00C34904">
        <w:rPr>
          <w:rFonts w:ascii="Arial" w:hAnsi="Arial" w:cs="Arial"/>
          <w:color w:val="000000" w:themeColor="text1"/>
          <w:sz w:val="20"/>
          <w:szCs w:val="20"/>
        </w:rPr>
        <w:t xml:space="preserve"> = 0.07 to 0.21 for Profiles 1, 3, and 6, respectively. </w:t>
      </w:r>
      <w:r w:rsidRPr="00C34904">
        <w:rPr>
          <w:rFonts w:ascii="Arial" w:hAnsi="Arial" w:cs="Arial"/>
          <w:bCs/>
          <w:color w:val="000000" w:themeColor="text1"/>
          <w:sz w:val="20"/>
          <w:szCs w:val="20"/>
        </w:rPr>
        <w:t>The measured</w:t>
      </w:r>
      <w:r w:rsidRPr="00022A2E">
        <w:rPr>
          <w:rFonts w:ascii="Arial" w:hAnsi="Arial" w:cs="Arial"/>
          <w:bCs/>
          <w:color w:val="000000" w:themeColor="text1"/>
          <w:sz w:val="20"/>
          <w:szCs w:val="20"/>
        </w:rPr>
        <w:t xml:space="preserve"> data points are represented by blue rectangles (heights are ± 2</w:t>
      </w:r>
      <m:oMath>
        <m:r>
          <w:rPr>
            <w:rFonts w:ascii="Cambria Math" w:hAnsi="Cambria Math" w:cs="Arial"/>
            <w:color w:val="000000" w:themeColor="text1"/>
            <w:sz w:val="20"/>
            <w:szCs w:val="20"/>
          </w:rPr>
          <m:t>σ</m:t>
        </m:r>
      </m:oMath>
      <w:r w:rsidRPr="00022A2E">
        <w:rPr>
          <w:rFonts w:ascii="Arial" w:eastAsiaTheme="minorEastAsia" w:hAnsi="Arial" w:cs="Arial"/>
          <w:bCs/>
          <w:color w:val="000000" w:themeColor="text1"/>
          <w:sz w:val="20"/>
          <w:szCs w:val="20"/>
        </w:rPr>
        <w:t xml:space="preserve"> uncertainty)</w:t>
      </w:r>
    </w:p>
    <w:p w14:paraId="4495888C" w14:textId="77777777" w:rsidR="00C72EAA" w:rsidRPr="00022A2E" w:rsidRDefault="00C72EAA" w:rsidP="00C72EAA">
      <w:pPr>
        <w:keepNext/>
        <w:pBdr>
          <w:top w:val="nil"/>
          <w:left w:val="nil"/>
          <w:bottom w:val="nil"/>
          <w:right w:val="nil"/>
          <w:between w:val="nil"/>
        </w:pBdr>
        <w:spacing w:before="240" w:after="60"/>
        <w:contextualSpacing/>
        <w:rPr>
          <w:rFonts w:ascii="Arial" w:hAnsi="Arial" w:cs="Arial"/>
          <w:color w:val="000000" w:themeColor="text1"/>
          <w:sz w:val="20"/>
          <w:szCs w:val="20"/>
        </w:rPr>
      </w:pPr>
      <w:r w:rsidRPr="00022A2E">
        <w:rPr>
          <w:rFonts w:ascii="Arial" w:hAnsi="Arial" w:cs="Arial"/>
          <w:bCs/>
          <w:color w:val="000000" w:themeColor="text1"/>
          <w:sz w:val="20"/>
          <w:szCs w:val="20"/>
        </w:rPr>
        <w:lastRenderedPageBreak/>
        <w:t xml:space="preserve"> </w:t>
      </w:r>
      <w:r w:rsidRPr="00022A2E">
        <w:rPr>
          <w:rFonts w:ascii="Arial" w:hAnsi="Arial" w:cs="Arial"/>
          <w:bCs/>
          <w:noProof/>
          <w:color w:val="000000" w:themeColor="text1"/>
          <w:sz w:val="20"/>
          <w:szCs w:val="20"/>
        </w:rPr>
        <w:drawing>
          <wp:inline distT="0" distB="0" distL="0" distR="0" wp14:anchorId="2206C1CB" wp14:editId="78454ECD">
            <wp:extent cx="3928703" cy="579120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1"/>
                    <a:stretch>
                      <a:fillRect/>
                    </a:stretch>
                  </pic:blipFill>
                  <pic:spPr>
                    <a:xfrm>
                      <a:off x="0" y="0"/>
                      <a:ext cx="3941394" cy="5809907"/>
                    </a:xfrm>
                    <a:prstGeom prst="rect">
                      <a:avLst/>
                    </a:prstGeom>
                  </pic:spPr>
                </pic:pic>
              </a:graphicData>
            </a:graphic>
          </wp:inline>
        </w:drawing>
      </w:r>
    </w:p>
    <w:p w14:paraId="37A44012" w14:textId="77777777" w:rsidR="00C72EAA" w:rsidRDefault="00C72EAA" w:rsidP="00C72EAA">
      <w:pPr>
        <w:rPr>
          <w:rFonts w:ascii="Arial" w:hAnsi="Arial" w:cs="Arial"/>
          <w:bCs/>
          <w:color w:val="000000" w:themeColor="text1"/>
          <w:sz w:val="20"/>
          <w:szCs w:val="20"/>
        </w:rPr>
      </w:pPr>
      <w:r w:rsidRPr="00022A2E">
        <w:rPr>
          <w:rFonts w:ascii="Arial" w:hAnsi="Arial" w:cs="Arial"/>
          <w:b/>
          <w:color w:val="000000" w:themeColor="text1"/>
          <w:sz w:val="20"/>
          <w:szCs w:val="20"/>
        </w:rPr>
        <w:t xml:space="preserve">Figure S3. </w:t>
      </w:r>
      <w:r w:rsidRPr="00022A2E">
        <w:rPr>
          <w:rFonts w:ascii="Arial" w:hAnsi="Arial" w:cs="Arial"/>
          <w:bCs/>
          <w:color w:val="000000" w:themeColor="text1"/>
          <w:sz w:val="20"/>
          <w:szCs w:val="20"/>
        </w:rPr>
        <w:t xml:space="preserve">Comparison of diffusion rates between a diffusion treatment with (solid lines) and without (dotted lines) compositional stress for a hypothetical garnet profile at 700 </w:t>
      </w:r>
      <w:proofErr w:type="spellStart"/>
      <w:r w:rsidRPr="00022A2E">
        <w:rPr>
          <w:rFonts w:ascii="Arial" w:hAnsi="Arial" w:cs="Arial"/>
          <w:bCs/>
          <w:color w:val="000000" w:themeColor="text1"/>
          <w:sz w:val="20"/>
          <w:szCs w:val="20"/>
          <w:vertAlign w:val="superscript"/>
        </w:rPr>
        <w:t>o</w:t>
      </w:r>
      <w:r w:rsidRPr="00022A2E">
        <w:rPr>
          <w:rFonts w:ascii="Arial" w:hAnsi="Arial" w:cs="Arial"/>
          <w:bCs/>
          <w:color w:val="000000" w:themeColor="text1"/>
          <w:sz w:val="20"/>
          <w:szCs w:val="20"/>
        </w:rPr>
        <w:t>C</w:t>
      </w:r>
      <w:proofErr w:type="spellEnd"/>
      <w:r w:rsidRPr="00022A2E">
        <w:rPr>
          <w:rFonts w:ascii="Arial" w:hAnsi="Arial" w:cs="Arial"/>
          <w:bCs/>
          <w:color w:val="000000" w:themeColor="text1"/>
          <w:sz w:val="20"/>
          <w:szCs w:val="20"/>
        </w:rPr>
        <w:t xml:space="preserve"> and 1 GPa after 1 </w:t>
      </w:r>
      <w:proofErr w:type="spellStart"/>
      <w:r w:rsidRPr="00022A2E">
        <w:rPr>
          <w:rFonts w:ascii="Arial" w:hAnsi="Arial" w:cs="Arial"/>
          <w:bCs/>
          <w:color w:val="000000" w:themeColor="text1"/>
          <w:sz w:val="20"/>
          <w:szCs w:val="20"/>
        </w:rPr>
        <w:t>Myr</w:t>
      </w:r>
      <w:proofErr w:type="spellEnd"/>
      <w:r w:rsidRPr="00022A2E">
        <w:rPr>
          <w:rFonts w:ascii="Arial" w:hAnsi="Arial" w:cs="Arial"/>
          <w:bCs/>
          <w:color w:val="000000" w:themeColor="text1"/>
          <w:sz w:val="20"/>
          <w:szCs w:val="20"/>
        </w:rPr>
        <w:t xml:space="preserve">. Compositional stress alters the morphology of the composition curves, but it does not noticeably change the widths of the profiles. Thus, the endmember interdiffusion rates are not appreciably altered by stress for garnet. </w:t>
      </w:r>
    </w:p>
    <w:p w14:paraId="333ACAE1" w14:textId="77777777" w:rsidR="00C72EAA" w:rsidRDefault="00C72EAA" w:rsidP="00C72EAA">
      <w:pPr>
        <w:rPr>
          <w:rFonts w:ascii="Arial" w:hAnsi="Arial" w:cs="Arial"/>
          <w:bCs/>
          <w:color w:val="000000" w:themeColor="text1"/>
          <w:sz w:val="20"/>
          <w:szCs w:val="20"/>
        </w:rPr>
      </w:pPr>
    </w:p>
    <w:p w14:paraId="7185F97E" w14:textId="77777777" w:rsidR="00C72EAA" w:rsidRPr="00022A2E" w:rsidRDefault="00C72EAA" w:rsidP="00C72EAA">
      <w:pPr>
        <w:rPr>
          <w:rFonts w:eastAsiaTheme="minorEastAsia" w:cstheme="minorHAnsi"/>
          <w:b/>
          <w:color w:val="000000" w:themeColor="text1"/>
        </w:rPr>
      </w:pPr>
      <w:r w:rsidRPr="00022A2E">
        <w:rPr>
          <w:rFonts w:eastAsiaTheme="minorEastAsia" w:cstheme="minorHAnsi"/>
          <w:b/>
          <w:color w:val="000000" w:themeColor="text1"/>
        </w:rPr>
        <w:t>Supplementary references:</w:t>
      </w:r>
    </w:p>
    <w:p w14:paraId="3BC15C39" w14:textId="741975ED" w:rsidR="00C72EAA" w:rsidRPr="00022A2E" w:rsidRDefault="001C601B" w:rsidP="00C72EAA">
      <w:pPr>
        <w:pStyle w:val="ListParagraph"/>
        <w:numPr>
          <w:ilvl w:val="0"/>
          <w:numId w:val="1"/>
        </w:numPr>
        <w:rPr>
          <w:rFonts w:ascii="Arial" w:eastAsia="Times New Roman" w:hAnsi="Arial" w:cs="Arial"/>
          <w:color w:val="000000" w:themeColor="text1"/>
          <w:sz w:val="20"/>
          <w:szCs w:val="20"/>
        </w:rPr>
      </w:pPr>
      <w:proofErr w:type="spellStart"/>
      <w:r>
        <w:rPr>
          <w:rFonts w:ascii="Arial" w:eastAsia="Times New Roman" w:hAnsi="Arial" w:cs="Arial"/>
          <w:color w:val="000000" w:themeColor="text1"/>
          <w:sz w:val="20"/>
          <w:szCs w:val="20"/>
        </w:rPr>
        <w:t>Merlet</w:t>
      </w:r>
      <w:proofErr w:type="spellEnd"/>
      <w:r>
        <w:rPr>
          <w:rFonts w:ascii="Arial" w:eastAsia="Times New Roman" w:hAnsi="Arial" w:cs="Arial"/>
          <w:color w:val="000000" w:themeColor="text1"/>
          <w:sz w:val="20"/>
          <w:szCs w:val="20"/>
        </w:rPr>
        <w:t xml:space="preserve">, </w:t>
      </w:r>
      <w:r w:rsidR="00C72EAA" w:rsidRPr="00022A2E">
        <w:rPr>
          <w:rFonts w:ascii="Arial" w:eastAsia="Times New Roman" w:hAnsi="Arial" w:cs="Arial"/>
          <w:color w:val="000000" w:themeColor="text1"/>
          <w:sz w:val="20"/>
          <w:szCs w:val="20"/>
        </w:rPr>
        <w:t xml:space="preserve">C. </w:t>
      </w:r>
      <w:r>
        <w:rPr>
          <w:rFonts w:ascii="Arial" w:eastAsia="Times New Roman" w:hAnsi="Arial" w:cs="Arial"/>
          <w:color w:val="000000" w:themeColor="text1"/>
          <w:sz w:val="20"/>
          <w:szCs w:val="20"/>
        </w:rPr>
        <w:t>&amp;</w:t>
      </w:r>
      <w:r w:rsidR="00C72EAA" w:rsidRPr="00022A2E">
        <w:rPr>
          <w:rFonts w:ascii="Arial" w:eastAsia="Times New Roman" w:hAnsi="Arial" w:cs="Arial"/>
          <w:color w:val="000000" w:themeColor="text1"/>
          <w:sz w:val="20"/>
          <w:szCs w:val="20"/>
        </w:rPr>
        <w:t xml:space="preserve"> </w:t>
      </w:r>
      <w:proofErr w:type="spellStart"/>
      <w:r>
        <w:rPr>
          <w:rFonts w:ascii="Arial" w:eastAsia="Times New Roman" w:hAnsi="Arial" w:cs="Arial"/>
          <w:color w:val="000000" w:themeColor="text1"/>
          <w:sz w:val="20"/>
          <w:szCs w:val="20"/>
        </w:rPr>
        <w:t>Llovet</w:t>
      </w:r>
      <w:proofErr w:type="spellEnd"/>
      <w:r>
        <w:rPr>
          <w:rFonts w:ascii="Arial" w:eastAsia="Times New Roman" w:hAnsi="Arial" w:cs="Arial"/>
          <w:color w:val="000000" w:themeColor="text1"/>
          <w:sz w:val="20"/>
          <w:szCs w:val="20"/>
        </w:rPr>
        <w:t xml:space="preserve">, </w:t>
      </w:r>
      <w:r w:rsidR="00C72EAA" w:rsidRPr="00022A2E">
        <w:rPr>
          <w:rFonts w:ascii="Arial" w:eastAsia="Times New Roman" w:hAnsi="Arial" w:cs="Arial"/>
          <w:color w:val="000000" w:themeColor="text1"/>
          <w:sz w:val="20"/>
          <w:szCs w:val="20"/>
        </w:rPr>
        <w:t>X. "Uncertainty and capability of quantitative EPMA at low voltage–A review." In </w:t>
      </w:r>
      <w:r w:rsidR="00C72EAA" w:rsidRPr="00022A2E">
        <w:rPr>
          <w:rFonts w:ascii="Arial" w:eastAsia="Times New Roman" w:hAnsi="Arial" w:cs="Arial"/>
          <w:i/>
          <w:iCs/>
          <w:color w:val="000000" w:themeColor="text1"/>
          <w:sz w:val="20"/>
          <w:szCs w:val="20"/>
        </w:rPr>
        <w:t xml:space="preserve">IOP Conference Series: Materials Science and Engineering (IOP </w:t>
      </w:r>
      <w:proofErr w:type="spellStart"/>
      <w:r w:rsidR="00C72EAA" w:rsidRPr="00022A2E">
        <w:rPr>
          <w:rFonts w:ascii="Arial" w:eastAsia="Times New Roman" w:hAnsi="Arial" w:cs="Arial"/>
          <w:i/>
          <w:iCs/>
          <w:color w:val="000000" w:themeColor="text1"/>
          <w:sz w:val="20"/>
          <w:szCs w:val="20"/>
        </w:rPr>
        <w:t>Publshing</w:t>
      </w:r>
      <w:proofErr w:type="spellEnd"/>
      <w:r w:rsidR="00C72EAA" w:rsidRPr="00022A2E">
        <w:rPr>
          <w:rFonts w:ascii="Arial" w:eastAsia="Times New Roman" w:hAnsi="Arial" w:cs="Arial"/>
          <w:i/>
          <w:iCs/>
          <w:color w:val="000000" w:themeColor="text1"/>
          <w:sz w:val="20"/>
          <w:szCs w:val="20"/>
        </w:rPr>
        <w:t xml:space="preserve">, 2012), </w:t>
      </w:r>
      <w:r w:rsidR="00C72EAA" w:rsidRPr="001C601B">
        <w:rPr>
          <w:rFonts w:ascii="Arial" w:eastAsia="Times New Roman" w:hAnsi="Arial" w:cs="Arial"/>
          <w:b/>
          <w:bCs/>
          <w:color w:val="000000" w:themeColor="text1"/>
          <w:sz w:val="20"/>
          <w:szCs w:val="20"/>
        </w:rPr>
        <w:t>32,</w:t>
      </w:r>
      <w:r w:rsidR="00C72EAA" w:rsidRPr="001C601B">
        <w:rPr>
          <w:rFonts w:ascii="Arial" w:eastAsia="Times New Roman" w:hAnsi="Arial" w:cs="Arial"/>
          <w:color w:val="000000" w:themeColor="text1"/>
          <w:sz w:val="20"/>
          <w:szCs w:val="20"/>
        </w:rPr>
        <w:t xml:space="preserve"> p. 012016</w:t>
      </w:r>
      <w:r w:rsidR="00C72EAA" w:rsidRPr="00022A2E">
        <w:rPr>
          <w:rFonts w:ascii="Arial" w:eastAsia="Times New Roman" w:hAnsi="Arial" w:cs="Arial"/>
          <w:i/>
          <w:iCs/>
          <w:color w:val="000000" w:themeColor="text1"/>
          <w:sz w:val="20"/>
          <w:szCs w:val="20"/>
        </w:rPr>
        <w:t xml:space="preserve">. </w:t>
      </w:r>
    </w:p>
    <w:p w14:paraId="03FBBD85" w14:textId="0E3E24AA" w:rsidR="00C72EAA" w:rsidRPr="00022A2E" w:rsidRDefault="001C601B" w:rsidP="00C72EAA">
      <w:pPr>
        <w:pStyle w:val="ListParagraph"/>
        <w:numPr>
          <w:ilvl w:val="0"/>
          <w:numId w:val="1"/>
        </w:numPr>
        <w:rPr>
          <w:rFonts w:ascii="Arial" w:eastAsia="Times New Roman" w:hAnsi="Arial" w:cs="Arial"/>
          <w:color w:val="000000" w:themeColor="text1"/>
          <w:sz w:val="20"/>
          <w:szCs w:val="20"/>
        </w:rPr>
      </w:pPr>
      <w:proofErr w:type="spellStart"/>
      <w:r>
        <w:rPr>
          <w:rFonts w:ascii="Arial" w:eastAsia="Times New Roman" w:hAnsi="Arial" w:cs="Arial"/>
          <w:color w:val="000000" w:themeColor="text1"/>
          <w:sz w:val="20"/>
          <w:szCs w:val="20"/>
        </w:rPr>
        <w:lastRenderedPageBreak/>
        <w:t>Fournelle</w:t>
      </w:r>
      <w:proofErr w:type="spellEnd"/>
      <w:r>
        <w:rPr>
          <w:rFonts w:ascii="Arial" w:eastAsia="Times New Roman" w:hAnsi="Arial" w:cs="Arial"/>
          <w:color w:val="000000" w:themeColor="text1"/>
          <w:sz w:val="20"/>
          <w:szCs w:val="20"/>
        </w:rPr>
        <w:t xml:space="preserve">, </w:t>
      </w:r>
      <w:r w:rsidR="00C72EAA" w:rsidRPr="00022A2E">
        <w:rPr>
          <w:rFonts w:ascii="Arial" w:eastAsia="Times New Roman" w:hAnsi="Arial" w:cs="Arial"/>
          <w:color w:val="000000" w:themeColor="text1"/>
          <w:sz w:val="20"/>
          <w:szCs w:val="20"/>
        </w:rPr>
        <w:t>J.</w:t>
      </w:r>
      <w:r>
        <w:rPr>
          <w:rFonts w:ascii="Arial" w:eastAsia="Times New Roman" w:hAnsi="Arial" w:cs="Arial"/>
          <w:color w:val="000000" w:themeColor="text1"/>
          <w:sz w:val="20"/>
          <w:szCs w:val="20"/>
        </w:rPr>
        <w:t xml:space="preserve">, </w:t>
      </w:r>
      <w:proofErr w:type="spellStart"/>
      <w:r>
        <w:rPr>
          <w:rFonts w:ascii="Arial" w:eastAsia="Times New Roman" w:hAnsi="Arial" w:cs="Arial"/>
          <w:color w:val="000000" w:themeColor="text1"/>
          <w:sz w:val="20"/>
          <w:szCs w:val="20"/>
        </w:rPr>
        <w:t>Catheby</w:t>
      </w:r>
      <w:proofErr w:type="spellEnd"/>
      <w:r w:rsidR="00C72EAA" w:rsidRPr="00022A2E">
        <w:rPr>
          <w:rFonts w:ascii="Arial" w:eastAsia="Times New Roman" w:hAnsi="Arial" w:cs="Arial"/>
          <w:color w:val="000000" w:themeColor="text1"/>
          <w:sz w:val="20"/>
          <w:szCs w:val="20"/>
        </w:rPr>
        <w:t>, H.</w:t>
      </w:r>
      <w:r>
        <w:rPr>
          <w:rFonts w:ascii="Arial" w:eastAsia="Times New Roman" w:hAnsi="Arial" w:cs="Arial"/>
          <w:color w:val="000000" w:themeColor="text1"/>
          <w:sz w:val="20"/>
          <w:szCs w:val="20"/>
        </w:rPr>
        <w:t>, Pinard,</w:t>
      </w:r>
      <w:r w:rsidR="00C72EAA" w:rsidRPr="00022A2E">
        <w:rPr>
          <w:rFonts w:ascii="Arial" w:eastAsia="Times New Roman" w:hAnsi="Arial" w:cs="Arial"/>
          <w:color w:val="000000" w:themeColor="text1"/>
          <w:sz w:val="20"/>
          <w:szCs w:val="20"/>
        </w:rPr>
        <w:t xml:space="preserve"> P. T.</w:t>
      </w:r>
      <w:r>
        <w:rPr>
          <w:rFonts w:ascii="Arial" w:eastAsia="Times New Roman" w:hAnsi="Arial" w:cs="Arial"/>
          <w:color w:val="000000" w:themeColor="text1"/>
          <w:sz w:val="20"/>
          <w:szCs w:val="20"/>
        </w:rPr>
        <w:t xml:space="preserve"> &amp; Richter,</w:t>
      </w:r>
      <w:r w:rsidR="00C72EAA" w:rsidRPr="00022A2E">
        <w:rPr>
          <w:rFonts w:ascii="Arial" w:eastAsia="Times New Roman" w:hAnsi="Arial" w:cs="Arial"/>
          <w:color w:val="000000" w:themeColor="text1"/>
          <w:sz w:val="20"/>
          <w:szCs w:val="20"/>
        </w:rPr>
        <w:t xml:space="preserve"> S. "Low voltage EPMA: experiments on a new frontier in microanalysis-analytical lateral resolution" In </w:t>
      </w:r>
      <w:r w:rsidR="00C72EAA" w:rsidRPr="00022A2E">
        <w:rPr>
          <w:rFonts w:ascii="Arial" w:eastAsia="Times New Roman" w:hAnsi="Arial" w:cs="Arial"/>
          <w:i/>
          <w:iCs/>
          <w:color w:val="000000" w:themeColor="text1"/>
          <w:sz w:val="20"/>
          <w:szCs w:val="20"/>
        </w:rPr>
        <w:t>IOP Conference Series: Materials Science and Engineering</w:t>
      </w:r>
      <w:r w:rsidR="00C72EAA" w:rsidRPr="00022A2E">
        <w:rPr>
          <w:rFonts w:ascii="Arial" w:eastAsia="Times New Roman" w:hAnsi="Arial" w:cs="Arial"/>
          <w:color w:val="000000" w:themeColor="text1"/>
          <w:sz w:val="20"/>
          <w:szCs w:val="20"/>
        </w:rPr>
        <w:t xml:space="preserve"> (IOP Publishing, 2016), </w:t>
      </w:r>
      <w:r w:rsidR="00C72EAA" w:rsidRPr="001C601B">
        <w:rPr>
          <w:rFonts w:ascii="Arial" w:eastAsia="Times New Roman" w:hAnsi="Arial" w:cs="Arial"/>
          <w:b/>
          <w:bCs/>
          <w:color w:val="000000" w:themeColor="text1"/>
          <w:sz w:val="20"/>
          <w:szCs w:val="20"/>
        </w:rPr>
        <w:t>109,</w:t>
      </w:r>
      <w:r w:rsidR="00C72EAA" w:rsidRPr="00022A2E">
        <w:rPr>
          <w:rFonts w:ascii="Arial" w:eastAsia="Times New Roman" w:hAnsi="Arial" w:cs="Arial"/>
          <w:color w:val="000000" w:themeColor="text1"/>
          <w:sz w:val="20"/>
          <w:szCs w:val="20"/>
        </w:rPr>
        <w:t xml:space="preserve"> p. 012003.</w:t>
      </w:r>
    </w:p>
    <w:p w14:paraId="6BA23D61" w14:textId="6E5E5DE1" w:rsidR="00C72EAA" w:rsidRPr="00022A2E" w:rsidRDefault="001C601B" w:rsidP="00C72EAA">
      <w:pPr>
        <w:pStyle w:val="ListParagraph"/>
        <w:numPr>
          <w:ilvl w:val="0"/>
          <w:numId w:val="1"/>
        </w:numPr>
        <w:rPr>
          <w:rFonts w:ascii="Arial" w:eastAsia="Times New Roman" w:hAnsi="Arial" w:cs="Arial"/>
          <w:color w:val="000000" w:themeColor="text1"/>
          <w:sz w:val="20"/>
          <w:szCs w:val="20"/>
        </w:rPr>
      </w:pPr>
      <w:proofErr w:type="spellStart"/>
      <w:r>
        <w:rPr>
          <w:rFonts w:ascii="Arial" w:eastAsia="Times New Roman" w:hAnsi="Arial" w:cs="Arial"/>
          <w:color w:val="000000" w:themeColor="text1"/>
          <w:sz w:val="20"/>
          <w:szCs w:val="20"/>
        </w:rPr>
        <w:t>Ganguly</w:t>
      </w:r>
      <w:proofErr w:type="spellEnd"/>
      <w:r>
        <w:rPr>
          <w:rFonts w:ascii="Arial" w:eastAsia="Times New Roman" w:hAnsi="Arial" w:cs="Arial"/>
          <w:color w:val="000000" w:themeColor="text1"/>
          <w:sz w:val="20"/>
          <w:szCs w:val="20"/>
        </w:rPr>
        <w:t xml:space="preserve">, </w:t>
      </w:r>
      <w:r w:rsidR="00C72EAA" w:rsidRPr="00022A2E">
        <w:rPr>
          <w:rFonts w:ascii="Arial" w:eastAsia="Times New Roman" w:hAnsi="Arial" w:cs="Arial"/>
          <w:color w:val="000000" w:themeColor="text1"/>
          <w:sz w:val="20"/>
          <w:szCs w:val="20"/>
        </w:rPr>
        <w:t xml:space="preserve">J., </w:t>
      </w:r>
      <w:r w:rsidRPr="00022A2E">
        <w:rPr>
          <w:rFonts w:ascii="Arial" w:eastAsia="Times New Roman" w:hAnsi="Arial" w:cs="Arial"/>
          <w:color w:val="000000" w:themeColor="text1"/>
          <w:sz w:val="20"/>
          <w:szCs w:val="20"/>
        </w:rPr>
        <w:t>Bhattacharya,</w:t>
      </w:r>
      <w:r>
        <w:rPr>
          <w:rFonts w:ascii="Arial" w:eastAsia="Times New Roman" w:hAnsi="Arial" w:cs="Arial"/>
          <w:color w:val="000000" w:themeColor="text1"/>
          <w:sz w:val="20"/>
          <w:szCs w:val="20"/>
        </w:rPr>
        <w:t xml:space="preserve"> </w:t>
      </w:r>
      <w:r w:rsidR="00C72EAA" w:rsidRPr="00022A2E">
        <w:rPr>
          <w:rFonts w:ascii="Arial" w:eastAsia="Times New Roman" w:hAnsi="Arial" w:cs="Arial"/>
          <w:color w:val="000000" w:themeColor="text1"/>
          <w:sz w:val="20"/>
          <w:szCs w:val="20"/>
        </w:rPr>
        <w:t>R. N.</w:t>
      </w:r>
      <w:r>
        <w:rPr>
          <w:rFonts w:ascii="Arial" w:eastAsia="Times New Roman" w:hAnsi="Arial" w:cs="Arial"/>
          <w:color w:val="000000" w:themeColor="text1"/>
          <w:sz w:val="20"/>
          <w:szCs w:val="20"/>
        </w:rPr>
        <w:t xml:space="preserve"> &amp; Chakraborty,</w:t>
      </w:r>
      <w:r w:rsidR="00C72EAA" w:rsidRPr="00022A2E">
        <w:rPr>
          <w:rFonts w:ascii="Arial" w:eastAsia="Times New Roman" w:hAnsi="Arial" w:cs="Arial"/>
          <w:color w:val="000000" w:themeColor="text1"/>
          <w:sz w:val="20"/>
          <w:szCs w:val="20"/>
        </w:rPr>
        <w:t xml:space="preserve"> S. Convolution effect in the determination of composition profiles and diffusion coefficients by microprobe step scans. </w:t>
      </w:r>
      <w:r w:rsidR="00C72EAA" w:rsidRPr="00022A2E">
        <w:rPr>
          <w:rFonts w:ascii="Arial" w:eastAsia="Times New Roman" w:hAnsi="Arial" w:cs="Arial"/>
          <w:i/>
          <w:iCs/>
          <w:color w:val="000000" w:themeColor="text1"/>
          <w:sz w:val="20"/>
          <w:szCs w:val="20"/>
        </w:rPr>
        <w:t>Am. Mineral.</w:t>
      </w:r>
      <w:r w:rsidR="00C72EAA" w:rsidRPr="00022A2E">
        <w:rPr>
          <w:rFonts w:ascii="Arial" w:eastAsia="Times New Roman" w:hAnsi="Arial" w:cs="Arial"/>
          <w:color w:val="000000" w:themeColor="text1"/>
          <w:sz w:val="20"/>
          <w:szCs w:val="20"/>
        </w:rPr>
        <w:t xml:space="preserve"> </w:t>
      </w:r>
      <w:r w:rsidR="00C72EAA" w:rsidRPr="001C601B">
        <w:rPr>
          <w:rFonts w:ascii="Arial" w:eastAsia="Times New Roman" w:hAnsi="Arial" w:cs="Arial"/>
          <w:b/>
          <w:bCs/>
          <w:color w:val="000000" w:themeColor="text1"/>
          <w:sz w:val="20"/>
          <w:szCs w:val="20"/>
        </w:rPr>
        <w:t>73,</w:t>
      </w:r>
      <w:r w:rsidR="00C72EAA" w:rsidRPr="00022A2E">
        <w:rPr>
          <w:rFonts w:ascii="Arial" w:eastAsia="Times New Roman" w:hAnsi="Arial" w:cs="Arial"/>
          <w:color w:val="000000" w:themeColor="text1"/>
          <w:sz w:val="20"/>
          <w:szCs w:val="20"/>
        </w:rPr>
        <w:t xml:space="preserve"> 901-909 (1988).</w:t>
      </w:r>
    </w:p>
    <w:p w14:paraId="4A199691" w14:textId="77777777" w:rsidR="00C72EAA" w:rsidRPr="00022A2E" w:rsidRDefault="00C72EAA" w:rsidP="00C72EAA">
      <w:pPr>
        <w:rPr>
          <w:rFonts w:ascii="Arial" w:hAnsi="Arial" w:cs="Arial"/>
          <w:bCs/>
          <w:color w:val="000000" w:themeColor="text1"/>
          <w:sz w:val="20"/>
          <w:szCs w:val="20"/>
        </w:rPr>
      </w:pPr>
    </w:p>
    <w:p w14:paraId="756B895A" w14:textId="77777777" w:rsidR="00047760" w:rsidRDefault="00047760"/>
    <w:sectPr w:rsidR="00047760" w:rsidSect="006C23F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BA6B9" w14:textId="77777777" w:rsidR="00F94FEA" w:rsidRDefault="00F94FEA">
      <w:pPr>
        <w:spacing w:after="0"/>
      </w:pPr>
      <w:r>
        <w:separator/>
      </w:r>
    </w:p>
  </w:endnote>
  <w:endnote w:type="continuationSeparator" w:id="0">
    <w:p w14:paraId="713C6262" w14:textId="77777777" w:rsidR="00F94FEA" w:rsidRDefault="00F94F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DF86" w14:textId="77777777" w:rsidR="00E6133D"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1F1602FB" w14:textId="77777777" w:rsidR="00E6133D" w:rsidRDefault="0000000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F4872" w14:textId="77777777" w:rsidR="00F94FEA" w:rsidRDefault="00F94FEA">
      <w:pPr>
        <w:spacing w:after="0"/>
      </w:pPr>
      <w:r>
        <w:separator/>
      </w:r>
    </w:p>
  </w:footnote>
  <w:footnote w:type="continuationSeparator" w:id="0">
    <w:p w14:paraId="2E83F273" w14:textId="77777777" w:rsidR="00F94FEA" w:rsidRDefault="00F94F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D084F" w14:textId="77777777" w:rsidR="00E6133D" w:rsidRDefault="00000000">
    <w:pPr>
      <w:jc w:val="right"/>
      <w:rPr>
        <w:sz w:val="20"/>
        <w:szCs w:val="20"/>
      </w:rPr>
    </w:pPr>
  </w:p>
  <w:p w14:paraId="41647FAA" w14:textId="77777777" w:rsidR="00E6133D"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41617"/>
    <w:multiLevelType w:val="hybridMultilevel"/>
    <w:tmpl w:val="215E884A"/>
    <w:lvl w:ilvl="0" w:tplc="0409000F">
      <w:start w:val="1"/>
      <w:numFmt w:val="decimal"/>
      <w:lvlText w:val="%1."/>
      <w:lvlJc w:val="left"/>
      <w:pPr>
        <w:ind w:left="720" w:hanging="360"/>
      </w:pPr>
    </w:lvl>
    <w:lvl w:ilvl="1" w:tplc="F502F63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7701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EAA"/>
    <w:rsid w:val="00047760"/>
    <w:rsid w:val="001C601B"/>
    <w:rsid w:val="00BF6083"/>
    <w:rsid w:val="00C72EAA"/>
    <w:rsid w:val="00F94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DBD391"/>
  <w15:chartTrackingRefBased/>
  <w15:docId w15:val="{37F67CB1-D4AA-164E-A1C0-3DB1EA36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EAA"/>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EAA"/>
    <w:pPr>
      <w:spacing w:after="0"/>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 Benjamin</dc:creator>
  <cp:keywords/>
  <dc:description/>
  <cp:lastModifiedBy>Hess, Benjamin</cp:lastModifiedBy>
  <cp:revision>2</cp:revision>
  <dcterms:created xsi:type="dcterms:W3CDTF">2023-06-12T17:51:00Z</dcterms:created>
  <dcterms:modified xsi:type="dcterms:W3CDTF">2023-06-12T17:51:00Z</dcterms:modified>
</cp:coreProperties>
</file>