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02746" w14:textId="77777777" w:rsidR="00BD696B" w:rsidRPr="00D51950" w:rsidRDefault="00BD696B" w:rsidP="00BD696B">
      <w:pPr>
        <w:widowControl/>
        <w:shd w:val="clear" w:color="auto" w:fill="FFFFFF"/>
        <w:spacing w:line="480" w:lineRule="auto"/>
        <w:jc w:val="center"/>
        <w:rPr>
          <w:rFonts w:ascii="SimSun" w:eastAsia="SimSun" w:hAnsi="SimSun" w:cs="SimSun"/>
          <w:kern w:val="0"/>
          <w:sz w:val="24"/>
          <w:szCs w:val="24"/>
        </w:rPr>
      </w:pPr>
      <w:bookmarkStart w:id="0" w:name="_Hlk137237959"/>
      <w:r w:rsidRPr="00D51950">
        <w:rPr>
          <w:rFonts w:ascii="Times New Roman" w:eastAsia="SimSun" w:hAnsi="Times New Roman"/>
          <w:b/>
          <w:bCs/>
          <w:color w:val="222222"/>
          <w:kern w:val="0"/>
          <w:sz w:val="18"/>
          <w:szCs w:val="18"/>
        </w:rPr>
        <w:t>Table 1. Demographic and clinical characteristics of participants</w:t>
      </w:r>
    </w:p>
    <w:bookmarkEnd w:id="0"/>
    <w:p w14:paraId="031FA0C5" w14:textId="71E29746" w:rsidR="00BD696B" w:rsidRPr="00D51950" w:rsidRDefault="00BD696B" w:rsidP="00BD696B">
      <w:pPr>
        <w:widowControl/>
        <w:shd w:val="clear" w:color="auto" w:fill="FFFFFF"/>
        <w:spacing w:line="480" w:lineRule="auto"/>
        <w:jc w:val="center"/>
        <w:rPr>
          <w:rFonts w:ascii="SimSun" w:eastAsia="SimSun" w:hAnsi="SimSun" w:cs="SimSun"/>
          <w:kern w:val="0"/>
          <w:sz w:val="24"/>
          <w:szCs w:val="24"/>
        </w:rPr>
      </w:pPr>
      <w:r w:rsidRPr="00D76649">
        <w:rPr>
          <w:noProof/>
        </w:rPr>
        <w:drawing>
          <wp:inline distT="0" distB="0" distL="0" distR="0" wp14:anchorId="0C67EEC6" wp14:editId="5C743A04">
            <wp:extent cx="5274310" cy="439229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4392295"/>
                    </a:xfrm>
                    <a:prstGeom prst="rect">
                      <a:avLst/>
                    </a:prstGeom>
                    <a:noFill/>
                    <a:ln>
                      <a:noFill/>
                    </a:ln>
                  </pic:spPr>
                </pic:pic>
              </a:graphicData>
            </a:graphic>
          </wp:inline>
        </w:drawing>
      </w:r>
    </w:p>
    <w:p w14:paraId="6F674E1A" w14:textId="77777777" w:rsidR="00BD696B" w:rsidRDefault="00BD696B" w:rsidP="00BD696B">
      <w:pPr>
        <w:widowControl/>
        <w:shd w:val="clear" w:color="auto" w:fill="FFFFFF"/>
        <w:jc w:val="left"/>
        <w:rPr>
          <w:rFonts w:ascii="SimSun" w:eastAsia="SimSun" w:hAnsi="SimSun" w:cs="SimSun"/>
          <w:kern w:val="0"/>
          <w:sz w:val="24"/>
          <w:szCs w:val="24"/>
        </w:rPr>
      </w:pPr>
      <w:r w:rsidRPr="00D51950">
        <w:rPr>
          <w:rFonts w:ascii="Times New Roman" w:eastAsia="SimSun" w:hAnsi="Times New Roman"/>
          <w:color w:val="222222"/>
          <w:kern w:val="0"/>
          <w:sz w:val="18"/>
          <w:szCs w:val="18"/>
        </w:rPr>
        <w:t>Data are presented as mean ± standard deviation unless otherwise specified.</w:t>
      </w:r>
      <w:r w:rsidRPr="00D51950">
        <w:rPr>
          <w:rFonts w:ascii="Times New Roman" w:eastAsia="SimSun" w:hAnsi="Times New Roman"/>
          <w:color w:val="222222"/>
          <w:kern w:val="0"/>
          <w:sz w:val="18"/>
          <w:szCs w:val="18"/>
        </w:rPr>
        <w:br/>
      </w:r>
      <w:r w:rsidRPr="00645EC9">
        <w:rPr>
          <w:rFonts w:ascii="Times New Roman" w:eastAsia="SimSun" w:hAnsi="Times New Roman"/>
          <w:color w:val="222222"/>
          <w:kern w:val="0"/>
          <w:sz w:val="18"/>
          <w:szCs w:val="18"/>
          <w:vertAlign w:val="superscript"/>
        </w:rPr>
        <w:t xml:space="preserve">a </w:t>
      </w:r>
      <w:r w:rsidRPr="00D51950">
        <w:rPr>
          <w:rFonts w:ascii="Times New Roman" w:eastAsia="SimSun" w:hAnsi="Times New Roman"/>
          <w:color w:val="222222"/>
          <w:kern w:val="0"/>
          <w:sz w:val="18"/>
          <w:szCs w:val="18"/>
        </w:rPr>
        <w:t>Duration of psychosis is defined as the number of months between the onset of the first psychotic symptom and the date of diagnosis and treatment initiation (same day in all cases).</w:t>
      </w:r>
    </w:p>
    <w:p w14:paraId="692C1F8D" w14:textId="77777777" w:rsidR="00BD696B" w:rsidRDefault="00BD696B" w:rsidP="00BD696B">
      <w:pPr>
        <w:widowControl/>
        <w:shd w:val="clear" w:color="auto" w:fill="FFFFFF"/>
        <w:spacing w:line="480" w:lineRule="auto"/>
        <w:jc w:val="left"/>
        <w:rPr>
          <w:rFonts w:ascii="SimSun" w:eastAsia="SimSun" w:hAnsi="SimSun" w:cs="SimSun" w:hint="eastAsia"/>
          <w:kern w:val="0"/>
          <w:sz w:val="24"/>
          <w:szCs w:val="24"/>
        </w:rPr>
        <w:sectPr w:rsidR="00BD696B">
          <w:pgSz w:w="11906" w:h="16838"/>
          <w:pgMar w:top="1440" w:right="1800" w:bottom="1440" w:left="1800" w:header="851" w:footer="992" w:gutter="0"/>
          <w:cols w:space="425"/>
          <w:docGrid w:type="lines" w:linePitch="312"/>
        </w:sectPr>
      </w:pPr>
    </w:p>
    <w:p w14:paraId="5CC3488D" w14:textId="77777777" w:rsidR="00BD696B" w:rsidRPr="00D51950" w:rsidRDefault="00BD696B" w:rsidP="00BD696B">
      <w:pPr>
        <w:widowControl/>
        <w:shd w:val="clear" w:color="auto" w:fill="FFFFFF"/>
        <w:spacing w:line="480" w:lineRule="auto"/>
        <w:jc w:val="center"/>
        <w:rPr>
          <w:rFonts w:ascii="SimSun" w:eastAsia="SimSun" w:hAnsi="SimSun" w:cs="SimSun"/>
          <w:kern w:val="0"/>
          <w:sz w:val="24"/>
          <w:szCs w:val="24"/>
        </w:rPr>
      </w:pPr>
      <w:r w:rsidRPr="00D51950">
        <w:rPr>
          <w:rFonts w:ascii="Times New Roman" w:eastAsia="SimSun" w:hAnsi="Times New Roman"/>
          <w:b/>
          <w:bCs/>
          <w:color w:val="222222"/>
          <w:kern w:val="0"/>
          <w:sz w:val="18"/>
          <w:szCs w:val="18"/>
        </w:rPr>
        <w:lastRenderedPageBreak/>
        <w:t>Table 2. 1H-MRS metabolite estimates at baseline and 12 weeks in the Responder and Non-Responder groups at 12 weeks</w:t>
      </w:r>
    </w:p>
    <w:p w14:paraId="4AC32B61" w14:textId="5792D80D" w:rsidR="00BD696B" w:rsidRPr="00D51950" w:rsidRDefault="00BD696B" w:rsidP="00BD696B">
      <w:pPr>
        <w:widowControl/>
        <w:shd w:val="clear" w:color="auto" w:fill="FFFFFF"/>
        <w:spacing w:line="480" w:lineRule="auto"/>
        <w:jc w:val="center"/>
        <w:rPr>
          <w:rFonts w:ascii="SimSun" w:eastAsia="SimSun" w:hAnsi="SimSun" w:cs="SimSun"/>
          <w:kern w:val="0"/>
          <w:sz w:val="24"/>
          <w:szCs w:val="24"/>
        </w:rPr>
      </w:pPr>
      <w:r w:rsidRPr="00D76649">
        <w:rPr>
          <w:noProof/>
        </w:rPr>
        <w:drawing>
          <wp:inline distT="0" distB="0" distL="0" distR="0" wp14:anchorId="0A3FCD04" wp14:editId="5AADC607">
            <wp:extent cx="5274310" cy="398589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3985895"/>
                    </a:xfrm>
                    <a:prstGeom prst="rect">
                      <a:avLst/>
                    </a:prstGeom>
                    <a:noFill/>
                    <a:ln>
                      <a:noFill/>
                    </a:ln>
                  </pic:spPr>
                </pic:pic>
              </a:graphicData>
            </a:graphic>
          </wp:inline>
        </w:drawing>
      </w:r>
    </w:p>
    <w:p w14:paraId="3C640021" w14:textId="77777777" w:rsidR="00BD696B" w:rsidRDefault="00BD696B" w:rsidP="00BD696B">
      <w:pPr>
        <w:widowControl/>
        <w:shd w:val="clear" w:color="auto" w:fill="FFFFFF"/>
        <w:jc w:val="left"/>
        <w:rPr>
          <w:rFonts w:ascii="SimSun" w:eastAsia="SimSun" w:hAnsi="SimSun" w:cs="SimSun"/>
          <w:kern w:val="0"/>
          <w:sz w:val="24"/>
          <w:szCs w:val="24"/>
        </w:rPr>
      </w:pPr>
      <w:r w:rsidRPr="00D51950">
        <w:rPr>
          <w:rFonts w:ascii="Times New Roman" w:eastAsia="SimSun" w:hAnsi="Times New Roman"/>
          <w:color w:val="222222"/>
          <w:kern w:val="0"/>
          <w:sz w:val="18"/>
          <w:szCs w:val="18"/>
        </w:rPr>
        <w:t>Data are presented as mean ± standard deviation. pACC: anterior cingulate cortex at ventral and perigenual voxel; dACC: dorsal anterior cingulate cortex; Glx: glutamate + glutamine. The unit of neurometabolite measurements is mM.</w:t>
      </w:r>
    </w:p>
    <w:p w14:paraId="6365CE4C" w14:textId="77777777" w:rsidR="00BD696B" w:rsidRDefault="00BD696B" w:rsidP="00BD696B"/>
    <w:p w14:paraId="6E2736E8" w14:textId="77777777" w:rsidR="000D4074" w:rsidRDefault="000D4074"/>
    <w:sectPr w:rsidR="000D407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96B"/>
    <w:rsid w:val="000D4074"/>
    <w:rsid w:val="001E4B73"/>
    <w:rsid w:val="005314AC"/>
    <w:rsid w:val="009B53F0"/>
    <w:rsid w:val="00BD6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24E85"/>
  <w15:chartTrackingRefBased/>
  <w15:docId w15:val="{30546B75-BF43-44F6-ABAC-A0D922895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96B"/>
    <w:pPr>
      <w:widowControl w:val="0"/>
      <w:spacing w:after="0" w:line="240" w:lineRule="auto"/>
      <w:jc w:val="both"/>
    </w:pPr>
    <w:rPr>
      <w:rFonts w:ascii="DengXian" w:eastAsia="DengXian" w:hAnsi="DengXian" w:cs="Times New Roman"/>
      <w:kern w:val="2"/>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Words>
  <Characters>578</Characters>
  <Application>Microsoft Office Word</Application>
  <DocSecurity>0</DocSecurity>
  <Lines>4</Lines>
  <Paragraphs>1</Paragraphs>
  <ScaleCrop>false</ScaleCrop>
  <Company>Springer Nature</Company>
  <LinksUpToDate>false</LinksUpToDate>
  <CharactersWithSpaces>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2023-06-21T20:20:00Z</dcterms:created>
  <dcterms:modified xsi:type="dcterms:W3CDTF">2023-06-21T20:20:00Z</dcterms:modified>
</cp:coreProperties>
</file>