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556D5" w14:textId="67AC5ED3" w:rsidR="00390D46" w:rsidRDefault="00390D46" w:rsidP="00390D46">
      <w:r>
        <w:rPr>
          <w:noProof/>
        </w:rPr>
        <w:drawing>
          <wp:anchor distT="0" distB="0" distL="114300" distR="114300" simplePos="0" relativeHeight="251658240" behindDoc="0" locked="0" layoutInCell="1" allowOverlap="1" wp14:anchorId="4CE9D2D8" wp14:editId="49EA9B9F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5267325" cy="5667375"/>
            <wp:effectExtent l="0" t="0" r="9525" b="9525"/>
            <wp:wrapTopAndBottom/>
            <wp:docPr id="12867884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566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A4D01" w:rsidRPr="00BA4D01">
        <w:rPr>
          <w:noProof/>
        </w:rPr>
        <w:t>Figure S</w:t>
      </w:r>
      <w:r>
        <w:t>2:</w:t>
      </w:r>
      <w:r w:rsidRPr="008C1B76">
        <w:t xml:space="preserve"> The forward MR analyses: Casual effect of </w:t>
      </w:r>
      <w:r>
        <w:t>LTL</w:t>
      </w:r>
      <w:r w:rsidRPr="008C1B76">
        <w:t xml:space="preserve"> on </w:t>
      </w:r>
      <w:r>
        <w:t>GERD</w:t>
      </w:r>
      <w:r w:rsidRPr="008C1B76">
        <w:t xml:space="preserve">. </w:t>
      </w:r>
      <w:r>
        <w:t>(A) Leave‐one‐out analyses to evaluate whether any</w:t>
      </w:r>
      <w:r>
        <w:rPr>
          <w:rFonts w:hint="eastAsia"/>
        </w:rPr>
        <w:t xml:space="preserve"> </w:t>
      </w:r>
      <w:r>
        <w:t>single instrumental variable was driving the causal effect</w:t>
      </w:r>
      <w:r>
        <w:rPr>
          <w:rFonts w:hint="eastAsia"/>
        </w:rPr>
        <w:t>.(</w:t>
      </w:r>
      <w:r>
        <w:t>B) Scatter plot of the association between LTL</w:t>
      </w:r>
      <w:r w:rsidRPr="008C1B76">
        <w:t xml:space="preserve"> on </w:t>
      </w:r>
      <w:r>
        <w:t>GERD. The four methods applied in the current manuscript were all depicted.</w:t>
      </w:r>
      <w:r w:rsidRPr="008C1B76">
        <w:t xml:space="preserve"> </w:t>
      </w:r>
      <w:r>
        <w:t>(C) A funnel plot was applied to detect whether the observed association was along</w:t>
      </w:r>
      <w:r>
        <w:rPr>
          <w:rFonts w:hint="eastAsia"/>
        </w:rPr>
        <w:t xml:space="preserve"> </w:t>
      </w:r>
      <w:r>
        <w:t>with obvious heterogeneity.(D)</w:t>
      </w:r>
      <w:r w:rsidRPr="008C1B76">
        <w:t xml:space="preserve"> </w:t>
      </w:r>
      <w:r>
        <w:t>A forest plot was used to show the MR estimate and 95% CI values (black line</w:t>
      </w:r>
      <w:r>
        <w:rPr>
          <w:rFonts w:hint="eastAsia"/>
        </w:rPr>
        <w:t xml:space="preserve"> </w:t>
      </w:r>
      <w:r>
        <w:t xml:space="preserve">segment) for each SNP, which also shows the IVW and MR‐Egger results at the bottom. </w:t>
      </w:r>
    </w:p>
    <w:p w14:paraId="736D9B2E" w14:textId="1040DE0F" w:rsidR="002B5E33" w:rsidRPr="00390D46" w:rsidRDefault="002B5E33"/>
    <w:sectPr w:rsidR="002B5E33" w:rsidRPr="00390D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DCA53" w14:textId="77777777" w:rsidR="0098526A" w:rsidRDefault="0098526A" w:rsidP="00BA4D01">
      <w:r>
        <w:separator/>
      </w:r>
    </w:p>
  </w:endnote>
  <w:endnote w:type="continuationSeparator" w:id="0">
    <w:p w14:paraId="2780D66A" w14:textId="77777777" w:rsidR="0098526A" w:rsidRDefault="0098526A" w:rsidP="00BA4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7E923" w14:textId="77777777" w:rsidR="0098526A" w:rsidRDefault="0098526A" w:rsidP="00BA4D01">
      <w:r>
        <w:separator/>
      </w:r>
    </w:p>
  </w:footnote>
  <w:footnote w:type="continuationSeparator" w:id="0">
    <w:p w14:paraId="2F4AFB47" w14:textId="77777777" w:rsidR="0098526A" w:rsidRDefault="0098526A" w:rsidP="00BA4D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D46"/>
    <w:rsid w:val="002B5E33"/>
    <w:rsid w:val="002C4691"/>
    <w:rsid w:val="00390D46"/>
    <w:rsid w:val="005555F6"/>
    <w:rsid w:val="0098526A"/>
    <w:rsid w:val="00BA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C834E1"/>
  <w15:chartTrackingRefBased/>
  <w15:docId w15:val="{C6D51946-DF8B-4F78-99BD-EA5D37B3B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D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4D0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4D0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4D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4D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hk</dc:creator>
  <cp:keywords/>
  <dc:description/>
  <cp:lastModifiedBy>hk wang</cp:lastModifiedBy>
  <cp:revision>2</cp:revision>
  <dcterms:created xsi:type="dcterms:W3CDTF">2023-06-10T06:00:00Z</dcterms:created>
  <dcterms:modified xsi:type="dcterms:W3CDTF">2023-06-21T13:13:00Z</dcterms:modified>
</cp:coreProperties>
</file>