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A004D" w14:textId="6B3F29D3" w:rsidR="00D65AA0" w:rsidRDefault="00D65AA0" w:rsidP="00D65AA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4" w:anchor="m0005" w:tooltip="Supplementary data 1" w:history="1">
        <w:r w:rsidRPr="00D65AA0">
          <w:rPr>
            <w:rFonts w:ascii="Times New Roman" w:hAnsi="Times New Roman" w:cs="Times New Roman"/>
            <w:b/>
            <w:sz w:val="24"/>
            <w:szCs w:val="24"/>
          </w:rPr>
          <w:t>Supplementary data </w:t>
        </w:r>
      </w:hyperlink>
    </w:p>
    <w:p w14:paraId="52770E81" w14:textId="5F67475F" w:rsidR="00D65AA0" w:rsidRPr="008425BF" w:rsidRDefault="00D65AA0" w:rsidP="00D65AA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BF">
        <w:rPr>
          <w:rFonts w:ascii="Times New Roman" w:hAnsi="Times New Roman" w:cs="Times New Roman"/>
          <w:b/>
          <w:sz w:val="24"/>
          <w:szCs w:val="24"/>
        </w:rPr>
        <w:t>Fabrication of 8-nitroquinoline coated</w:t>
      </w:r>
      <w:r w:rsidRPr="008425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8425BF">
        <w:rPr>
          <w:rFonts w:ascii="Times New Roman" w:hAnsi="Times New Roman" w:cs="Times New Roman"/>
          <w:b/>
          <w:sz w:val="24"/>
          <w:szCs w:val="24"/>
        </w:rPr>
        <w:t>pencil graphite electrode for rutin determination by differential pulse voltammetry in orange juice</w:t>
      </w:r>
    </w:p>
    <w:p w14:paraId="3C743EDC" w14:textId="77777777" w:rsidR="00D65AA0" w:rsidRPr="008425BF" w:rsidRDefault="00D65AA0" w:rsidP="00D65AA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  <w:lang w:val="fr-FR"/>
        </w:rPr>
      </w:pPr>
      <w:r w:rsidRPr="008425BF">
        <w:rPr>
          <w:rFonts w:ascii="Times New Roman" w:hAnsi="Times New Roman" w:cs="Times New Roman"/>
          <w:bCs/>
          <w:sz w:val="24"/>
          <w:szCs w:val="24"/>
          <w:lang w:val="fr-FR"/>
        </w:rPr>
        <w:t>Farah En-Nakra, Demet Uzun</w:t>
      </w:r>
      <w:r w:rsidRPr="008425BF">
        <w:rPr>
          <w:rFonts w:ascii="Times New Roman" w:hAnsi="Times New Roman" w:cs="Times New Roman"/>
          <w:bCs/>
          <w:sz w:val="24"/>
          <w:szCs w:val="24"/>
          <w:vertAlign w:val="superscript"/>
          <w:lang w:val="fr-FR"/>
        </w:rPr>
        <w:t>*</w:t>
      </w:r>
      <w:r w:rsidRPr="008425BF">
        <w:rPr>
          <w:rFonts w:ascii="Times New Roman" w:hAnsi="Times New Roman" w:cs="Times New Roman"/>
          <w:bCs/>
          <w:sz w:val="24"/>
          <w:szCs w:val="24"/>
          <w:lang w:val="fr-FR"/>
        </w:rPr>
        <w:t>, Erdoğan Hasdemir</w:t>
      </w:r>
    </w:p>
    <w:p w14:paraId="529C4926" w14:textId="77777777" w:rsidR="00D65AA0" w:rsidRPr="008425BF" w:rsidRDefault="00D65AA0" w:rsidP="00D65AA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25BF">
        <w:rPr>
          <w:rFonts w:ascii="Times New Roman" w:hAnsi="Times New Roman" w:cs="Times New Roman"/>
          <w:sz w:val="24"/>
          <w:szCs w:val="24"/>
        </w:rPr>
        <w:t>Gazi University, Faculty of Science, Department of Chemistry, 06500, Ankara/Turkey</w:t>
      </w:r>
    </w:p>
    <w:p w14:paraId="5F9B3DA9" w14:textId="77777777" w:rsidR="00D65AA0" w:rsidRDefault="00D65AA0" w:rsidP="00F756D7">
      <w:pPr>
        <w:jc w:val="both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</w:pPr>
    </w:p>
    <w:p w14:paraId="2E17B33F" w14:textId="55F27D42" w:rsidR="001E750B" w:rsidRDefault="001E750B" w:rsidP="00F756D7">
      <w:pPr>
        <w:jc w:val="both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</w:pPr>
      <w:r>
        <w:rPr>
          <w:noProof/>
        </w:rPr>
        <w:drawing>
          <wp:inline distT="0" distB="0" distL="0" distR="0" wp14:anchorId="3A28F61E" wp14:editId="1C85C06A">
            <wp:extent cx="5208643" cy="311785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032" cy="313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326BC" w14:textId="5D5EC71E" w:rsidR="00F756D7" w:rsidRDefault="00F756D7" w:rsidP="00F756D7">
      <w:pPr>
        <w:jc w:val="both"/>
        <w:rPr>
          <w:rFonts w:ascii="Times New Roman" w:hAnsi="Times New Roman" w:cs="Times New Roman"/>
          <w:sz w:val="24"/>
          <w:szCs w:val="24"/>
        </w:rPr>
      </w:pPr>
      <w:r w:rsidRPr="00916ED2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>Fig</w:t>
      </w:r>
      <w:r w:rsidR="007A2C2D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 xml:space="preserve">ure </w:t>
      </w: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>S</w:t>
      </w:r>
      <w:r w:rsidRPr="00916ED2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>1.</w:t>
      </w:r>
      <w:r w:rsidRPr="00916E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16ED2">
        <w:rPr>
          <w:rFonts w:ascii="Times New Roman" w:hAnsi="Times New Roman" w:cs="Times New Roman"/>
          <w:sz w:val="24"/>
          <w:szCs w:val="24"/>
        </w:rPr>
        <w:t>The CVs of 1 mM 8-NQ solution prepared in ethanol on the PGE surface (reference electrode: Ag/AgCl, scan rate: 100 mV s</w:t>
      </w:r>
      <w:r w:rsidRPr="00916ED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16ED2">
        <w:rPr>
          <w:rFonts w:ascii="Times New Roman" w:hAnsi="Times New Roman" w:cs="Times New Roman"/>
          <w:sz w:val="24"/>
          <w:szCs w:val="24"/>
        </w:rPr>
        <w:t>).</w:t>
      </w:r>
    </w:p>
    <w:p w14:paraId="5C2CC9B9" w14:textId="269EE9D9" w:rsidR="001E750B" w:rsidRDefault="001E750B" w:rsidP="00F756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758F6AC" wp14:editId="4A44B66E">
            <wp:extent cx="5238977" cy="30924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357" cy="310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E39A" w14:textId="16FA2B94" w:rsidR="001E750B" w:rsidRDefault="001E750B" w:rsidP="00F756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477031" wp14:editId="6873DB55">
            <wp:extent cx="5199322" cy="3105150"/>
            <wp:effectExtent l="0" t="0" r="190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864" cy="311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67AB3" w14:textId="7D3BABC5" w:rsidR="001E750B" w:rsidRPr="00916ED2" w:rsidRDefault="001E750B" w:rsidP="00F756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3E091E2" wp14:editId="1DF77F85">
            <wp:extent cx="4972050" cy="2983230"/>
            <wp:effectExtent l="0" t="0" r="0" b="762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790" cy="298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1F51A" w14:textId="0C67DAF9" w:rsidR="00F756D7" w:rsidRPr="00916ED2" w:rsidRDefault="00F756D7" w:rsidP="00F756D7">
      <w:pPr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916ED2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>Fig</w:t>
      </w:r>
      <w:r w:rsidR="007A2C2D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>ure</w:t>
      </w:r>
      <w:r w:rsidRPr="00916ED2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>S</w:t>
      </w:r>
      <w:r w:rsidRPr="00916ED2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>2.</w:t>
      </w:r>
      <w:r w:rsidRPr="00916E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16ED2">
        <w:rPr>
          <w:rFonts w:ascii="Times New Roman" w:hAnsi="Times New Roman" w:cs="Times New Roman"/>
          <w:sz w:val="24"/>
          <w:szCs w:val="24"/>
          <w:lang w:val="en-GB" w:eastAsia="tr-TR"/>
        </w:rPr>
        <w:t xml:space="preserve"> 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 xml:space="preserve">(A) CVs of 1 mM </w:t>
      </w:r>
      <w:r w:rsidRPr="00916ED2">
        <w:rPr>
          <w:rFonts w:ascii="Times New Roman" w:hAnsi="Times New Roman" w:cs="Times New Roman"/>
          <w:bCs/>
          <w:sz w:val="24"/>
          <w:szCs w:val="24"/>
        </w:rPr>
        <w:t>ferro</w:t>
      </w:r>
      <w:r w:rsidR="00775E5B">
        <w:rPr>
          <w:rFonts w:ascii="Times New Roman" w:hAnsi="Times New Roman" w:cs="Times New Roman"/>
          <w:bCs/>
          <w:sz w:val="24"/>
          <w:szCs w:val="24"/>
        </w:rPr>
        <w:t>c</w:t>
      </w:r>
      <w:r w:rsidRPr="00916ED2">
        <w:rPr>
          <w:rFonts w:ascii="Times New Roman" w:hAnsi="Times New Roman" w:cs="Times New Roman"/>
          <w:bCs/>
          <w:sz w:val="24"/>
          <w:szCs w:val="24"/>
        </w:rPr>
        <w:t>en</w:t>
      </w:r>
      <w:r w:rsidR="00775E5B">
        <w:rPr>
          <w:rFonts w:ascii="Times New Roman" w:hAnsi="Times New Roman" w:cs="Times New Roman"/>
          <w:bCs/>
          <w:sz w:val="24"/>
          <w:szCs w:val="24"/>
        </w:rPr>
        <w:t>e</w:t>
      </w:r>
      <w:r w:rsidRPr="00916ED2">
        <w:rPr>
          <w:rFonts w:ascii="Times New Roman" w:hAnsi="Times New Roman" w:cs="Times New Roman"/>
          <w:sz w:val="24"/>
          <w:szCs w:val="24"/>
        </w:rPr>
        <w:t xml:space="preserve"> redox molecule prepared in 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>0.1 M TBATFB,</w:t>
      </w:r>
      <w:r w:rsidR="00775E5B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 xml:space="preserve"> 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 xml:space="preserve">(B) CVs of 1 mM </w:t>
      </w:r>
      <w:r w:rsidRPr="00916ED2">
        <w:rPr>
          <w:rFonts w:ascii="Times New Roman" w:hAnsi="Times New Roman" w:cs="Times New Roman"/>
          <w:sz w:val="24"/>
          <w:szCs w:val="24"/>
        </w:rPr>
        <w:t>Fe(CN)</w:t>
      </w:r>
      <w:r w:rsidRPr="00916ED2">
        <w:rPr>
          <w:rFonts w:ascii="Times New Roman" w:hAnsi="Times New Roman" w:cs="Times New Roman"/>
          <w:sz w:val="24"/>
          <w:szCs w:val="24"/>
          <w:vertAlign w:val="subscript"/>
        </w:rPr>
        <w:t xml:space="preserve">6 </w:t>
      </w:r>
      <w:r w:rsidRPr="00916ED2">
        <w:rPr>
          <w:rFonts w:ascii="Times New Roman" w:hAnsi="Times New Roman" w:cs="Times New Roman"/>
          <w:sz w:val="24"/>
          <w:szCs w:val="24"/>
          <w:vertAlign w:val="superscript"/>
        </w:rPr>
        <w:t>3−/4−</w:t>
      </w:r>
      <w:r w:rsidR="00775E5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16ED2">
        <w:rPr>
          <w:rFonts w:ascii="Times New Roman" w:hAnsi="Times New Roman" w:cs="Times New Roman"/>
          <w:sz w:val="24"/>
          <w:szCs w:val="24"/>
        </w:rPr>
        <w:t xml:space="preserve">redox molecules prepared in 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>0.1 M KCl</w:t>
      </w:r>
      <w:r w:rsidR="001E750B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>,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 xml:space="preserve"> and (C) </w:t>
      </w:r>
      <w:r w:rsidRPr="00916ED2">
        <w:rPr>
          <w:rFonts w:ascii="Times New Roman" w:hAnsi="Times New Roman" w:cs="Times New Roman"/>
          <w:sz w:val="24"/>
          <w:szCs w:val="24"/>
        </w:rPr>
        <w:t xml:space="preserve">DPVs of 30 μM Ru at pH 3.0 in BR buffer 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 xml:space="preserve">at PGE and </w:t>
      </w:r>
      <w:r w:rsidRPr="00916ED2">
        <w:rPr>
          <w:rFonts w:ascii="Times New Roman" w:hAnsi="Times New Roman" w:cs="Times New Roman"/>
          <w:sz w:val="24"/>
          <w:szCs w:val="24"/>
        </w:rPr>
        <w:t>8-NQ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 xml:space="preserve">/PGE covered with 15 cycles (versus Ag/AgCl/KCl (sat.), </w:t>
      </w:r>
      <w:r w:rsidR="001E750B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 xml:space="preserve">the 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>scan rate is 100 mVs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vertAlign w:val="superscript"/>
          <w:lang w:val="en-GB"/>
        </w:rPr>
        <w:t>−1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 xml:space="preserve">, </w:t>
      </w:r>
      <w:r w:rsidRPr="00916ED2">
        <w:rPr>
          <w:rFonts w:ascii="Times New Roman" w:hAnsi="Times New Roman" w:cs="Times New Roman"/>
          <w:sz w:val="24"/>
          <w:szCs w:val="24"/>
        </w:rPr>
        <w:t>puls</w:t>
      </w:r>
      <w:r w:rsidR="001E750B">
        <w:rPr>
          <w:rFonts w:ascii="Times New Roman" w:hAnsi="Times New Roman" w:cs="Times New Roman"/>
          <w:sz w:val="24"/>
          <w:szCs w:val="24"/>
        </w:rPr>
        <w:t>e</w:t>
      </w:r>
      <w:r w:rsidRPr="00916ED2">
        <w:rPr>
          <w:rFonts w:ascii="Times New Roman" w:hAnsi="Times New Roman" w:cs="Times New Roman"/>
          <w:sz w:val="24"/>
          <w:szCs w:val="24"/>
        </w:rPr>
        <w:t xml:space="preserve"> amplitude: 0.05 V, pulse period:0.2 s, and pulse width: 0.1 s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>).</w:t>
      </w:r>
    </w:p>
    <w:p w14:paraId="70C607B9" w14:textId="4D15291F" w:rsidR="00F756D7" w:rsidRDefault="001E750B" w:rsidP="00F756D7">
      <w:pPr>
        <w:jc w:val="both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</w:pPr>
      <w:r>
        <w:rPr>
          <w:noProof/>
        </w:rPr>
        <w:drawing>
          <wp:inline distT="0" distB="0" distL="0" distR="0" wp14:anchorId="14DBA93A" wp14:editId="033FAA45">
            <wp:extent cx="5721350" cy="375285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011" cy="37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93500" w14:textId="352B6F8A" w:rsidR="00F756D7" w:rsidRDefault="00F756D7" w:rsidP="00F756D7">
      <w:pPr>
        <w:jc w:val="both"/>
        <w:rPr>
          <w:rFonts w:ascii="Times New Roman" w:hAnsi="Times New Roman" w:cs="Times New Roman"/>
          <w:sz w:val="24"/>
          <w:szCs w:val="24"/>
        </w:rPr>
      </w:pPr>
      <w:r w:rsidRPr="00916ED2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>Fig</w:t>
      </w:r>
      <w:r w:rsidR="007A2C2D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>ure</w:t>
      </w:r>
      <w:r w:rsidRPr="00916ED2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>S3</w:t>
      </w:r>
      <w:r w:rsidRPr="00916ED2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GB" w:eastAsia="tr-TR"/>
        </w:rPr>
        <w:t>.</w:t>
      </w:r>
      <w:r w:rsidRPr="00916ED2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GB"/>
        </w:rPr>
        <w:t xml:space="preserve"> </w:t>
      </w:r>
      <w:r w:rsidRPr="00916ED2">
        <w:rPr>
          <w:rFonts w:ascii="Times New Roman" w:hAnsi="Times New Roman" w:cs="Times New Roman"/>
          <w:sz w:val="24"/>
          <w:szCs w:val="24"/>
          <w:lang w:val="en-GB" w:eastAsia="tr-TR"/>
        </w:rPr>
        <w:t xml:space="preserve"> </w:t>
      </w:r>
      <w:r w:rsidRPr="00916ED2">
        <w:rPr>
          <w:rFonts w:ascii="Times New Roman" w:hAnsi="Times New Roman" w:cs="Times New Roman"/>
          <w:sz w:val="24"/>
          <w:szCs w:val="24"/>
        </w:rPr>
        <w:t>DPVs of Ru (30 μM) (A) in different supporting electrolytes of 0.1 M pH 5 Ac, BR and PBS buffers and pH 2 HClO</w:t>
      </w:r>
      <w:r w:rsidRPr="00916ED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814E4">
        <w:rPr>
          <w:rFonts w:ascii="Times New Roman" w:hAnsi="Times New Roman" w:cs="Times New Roman"/>
          <w:sz w:val="24"/>
          <w:szCs w:val="24"/>
        </w:rPr>
        <w:t>,</w:t>
      </w:r>
      <w:r w:rsidRPr="00916ED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16ED2">
        <w:rPr>
          <w:rFonts w:ascii="Times New Roman" w:hAnsi="Times New Roman" w:cs="Times New Roman"/>
          <w:sz w:val="24"/>
          <w:szCs w:val="24"/>
        </w:rPr>
        <w:t>(B) in 0.1 M BR buffer solution with pH values of 2.0, 2.5, 3.0, 4.0, 5.0, 6.0, 8.0</w:t>
      </w:r>
      <w:r w:rsidR="001814E4">
        <w:rPr>
          <w:rFonts w:ascii="Times New Roman" w:hAnsi="Times New Roman" w:cs="Times New Roman"/>
          <w:sz w:val="24"/>
          <w:szCs w:val="24"/>
        </w:rPr>
        <w:t>,</w:t>
      </w:r>
      <w:r w:rsidRPr="00916ED2">
        <w:rPr>
          <w:rFonts w:ascii="Times New Roman" w:hAnsi="Times New Roman" w:cs="Times New Roman"/>
          <w:sz w:val="24"/>
          <w:szCs w:val="24"/>
        </w:rPr>
        <w:t xml:space="preserve"> (C) Graph of peak current Ip vs. pH</w:t>
      </w:r>
      <w:r w:rsidR="001814E4">
        <w:rPr>
          <w:rFonts w:ascii="Times New Roman" w:hAnsi="Times New Roman" w:cs="Times New Roman"/>
          <w:sz w:val="24"/>
          <w:szCs w:val="24"/>
        </w:rPr>
        <w:t>,</w:t>
      </w:r>
      <w:r w:rsidRPr="00916ED2">
        <w:rPr>
          <w:rFonts w:ascii="Times New Roman" w:hAnsi="Times New Roman" w:cs="Times New Roman"/>
          <w:sz w:val="24"/>
          <w:szCs w:val="24"/>
        </w:rPr>
        <w:t xml:space="preserve"> and (D) The relationship between peak potential Ep and pH for Ru (30 μM)</w:t>
      </w:r>
      <w:r w:rsidR="001814E4">
        <w:rPr>
          <w:rFonts w:ascii="Times New Roman" w:hAnsi="Times New Roman" w:cs="Times New Roman"/>
          <w:sz w:val="24"/>
          <w:szCs w:val="24"/>
        </w:rPr>
        <w:t>.</w:t>
      </w:r>
    </w:p>
    <w:p w14:paraId="1AD81514" w14:textId="1F2A4296" w:rsidR="004503DC" w:rsidRDefault="004503DC" w:rsidP="004503DC">
      <w:pPr>
        <w:jc w:val="both"/>
        <w:rPr>
          <w:rStyle w:val="fontstyle01"/>
          <w:b w:val="0"/>
          <w:bCs w:val="0"/>
        </w:rPr>
      </w:pPr>
      <w:r w:rsidRPr="00916E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Scheme </w:t>
      </w:r>
      <w:r w:rsidR="00D65AA0">
        <w:rPr>
          <w:rFonts w:ascii="Times New Roman" w:hAnsi="Times New Roman" w:cs="Times New Roman"/>
          <w:b/>
          <w:sz w:val="24"/>
          <w:szCs w:val="24"/>
        </w:rPr>
        <w:t>S</w:t>
      </w:r>
      <w:r w:rsidRPr="00916ED2">
        <w:rPr>
          <w:rFonts w:ascii="Times New Roman" w:hAnsi="Times New Roman" w:cs="Times New Roman"/>
          <w:b/>
          <w:sz w:val="24"/>
          <w:szCs w:val="24"/>
        </w:rPr>
        <w:t>1.</w:t>
      </w:r>
      <w:r w:rsidRPr="00916ED2">
        <w:rPr>
          <w:rFonts w:ascii="Times New Roman" w:hAnsi="Times New Roman" w:cs="Times New Roman"/>
          <w:sz w:val="24"/>
          <w:szCs w:val="24"/>
        </w:rPr>
        <w:t xml:space="preserve"> </w:t>
      </w:r>
      <w:r w:rsidRPr="00D65AA0">
        <w:rPr>
          <w:rFonts w:ascii="Times New Roman" w:hAnsi="Times New Roman" w:cs="Times New Roman"/>
          <w:iCs/>
          <w:sz w:val="24"/>
          <w:szCs w:val="24"/>
          <w:lang w:val="tr-TR"/>
        </w:rPr>
        <w:t>The possible redox reaction mechanism of Ru</w:t>
      </w:r>
      <w:r w:rsidRPr="00D65AA0">
        <w:rPr>
          <w:rStyle w:val="fontstyle01"/>
        </w:rPr>
        <w:t xml:space="preserve"> </w:t>
      </w:r>
      <w:r w:rsidRPr="00D65AA0">
        <w:rPr>
          <w:rStyle w:val="fontstyle01"/>
          <w:b w:val="0"/>
          <w:bCs w:val="0"/>
        </w:rPr>
        <w:t>on the 8-NQ/PGE</w:t>
      </w:r>
      <w:r w:rsidR="00D65AA0">
        <w:rPr>
          <w:rStyle w:val="fontstyle01"/>
          <w:b w:val="0"/>
          <w:bCs w:val="0"/>
        </w:rPr>
        <w:t>.</w:t>
      </w:r>
    </w:p>
    <w:p w14:paraId="3349480A" w14:textId="77777777" w:rsidR="00D65AA0" w:rsidRPr="00D65AA0" w:rsidRDefault="00D65AA0" w:rsidP="004503DC">
      <w:pPr>
        <w:jc w:val="both"/>
        <w:rPr>
          <w:rStyle w:val="fontstyle01"/>
          <w:b w:val="0"/>
          <w:bCs w:val="0"/>
        </w:rPr>
      </w:pPr>
    </w:p>
    <w:p w14:paraId="669DBCF1" w14:textId="292C7413" w:rsidR="001E750B" w:rsidRDefault="00D65AA0" w:rsidP="004503DC">
      <w:pPr>
        <w:jc w:val="both"/>
        <w:rPr>
          <w:rStyle w:val="fontstyle01"/>
        </w:rPr>
      </w:pPr>
      <w:r>
        <w:object w:dxaOrig="9477" w:dyaOrig="2731" w14:anchorId="4C665E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50pt" o:ole="">
            <v:imagedata r:id="rId10" o:title=""/>
          </v:shape>
          <o:OLEObject Type="Embed" ProgID="ChemDraw.Document.6.0" ShapeID="_x0000_i1025" DrawAspect="Content" ObjectID="_1748085317" r:id="rId11"/>
        </w:object>
      </w:r>
    </w:p>
    <w:p w14:paraId="24880FCC" w14:textId="55F83CE5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2F44EF9D" w14:textId="02A92C63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2F1876FB" w14:textId="58994AAF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0BD301B4" w14:textId="38F51FF9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2ED8552C" w14:textId="3C4837ED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399648C1" w14:textId="5571DCCB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0C3038EE" w14:textId="3104CC7E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2025C2EF" w14:textId="63B41766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0EF29653" w14:textId="0B7DA1B5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6DB14F07" w14:textId="4631BB2D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7CE67C18" w14:textId="3133A140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24BDE9E5" w14:textId="24C2C146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5E7D4E0E" w14:textId="08284EB3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0D5FD3D1" w14:textId="304DA18A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2D3AEFD8" w14:textId="490FFA99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050DA437" w14:textId="77618348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72F64EEC" w14:textId="6E3EB7FB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772508F3" w14:textId="77777777" w:rsidR="00D65AA0" w:rsidRDefault="00D65AA0" w:rsidP="008904B1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3E75B570" w14:textId="1D5D6F6B" w:rsidR="008904B1" w:rsidRPr="00916ED2" w:rsidRDefault="008904B1" w:rsidP="008904B1">
      <w:pPr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16ED2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lastRenderedPageBreak/>
        <w:t xml:space="preserve">Table </w:t>
      </w:r>
      <w:r w:rsidR="001814E4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S1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.</w:t>
      </w:r>
      <w:r w:rsidRPr="00916ED2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916ED2">
        <w:rPr>
          <w:rFonts w:ascii="Times New Roman" w:hAnsi="Times New Roman" w:cs="Times New Roman"/>
          <w:color w:val="000000" w:themeColor="text1"/>
          <w:sz w:val="24"/>
          <w:szCs w:val="24"/>
        </w:rPr>
        <w:t>Influence of possible interfering species (inorganic ions and organic molecules) on the anodic peak current signals of Ru (10 μM) at pH 3.0 in BR buffer at the 8-NQ/PGE (n = 3).</w:t>
      </w:r>
    </w:p>
    <w:tbl>
      <w:tblPr>
        <w:tblStyle w:val="TabloKlavuzu"/>
        <w:tblW w:w="9889" w:type="dxa"/>
        <w:tblLook w:val="04A0" w:firstRow="1" w:lastRow="0" w:firstColumn="1" w:lastColumn="0" w:noHBand="0" w:noVBand="1"/>
      </w:tblPr>
      <w:tblGrid>
        <w:gridCol w:w="2943"/>
        <w:gridCol w:w="3261"/>
        <w:gridCol w:w="3685"/>
      </w:tblGrid>
      <w:tr w:rsidR="008904B1" w:rsidRPr="00916ED2" w14:paraId="6C33DA08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5AD3B305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Possible Coexisting Species</w:t>
            </w:r>
          </w:p>
        </w:tc>
        <w:tc>
          <w:tcPr>
            <w:tcW w:w="3261" w:type="dxa"/>
            <w:noWrap/>
            <w:hideMark/>
          </w:tcPr>
          <w:p w14:paraId="0687A4C8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Concentration</w:t>
            </w:r>
          </w:p>
        </w:tc>
        <w:tc>
          <w:tcPr>
            <w:tcW w:w="3685" w:type="dxa"/>
          </w:tcPr>
          <w:p w14:paraId="1CC93798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Change of the peak current of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Ru</w:t>
            </w:r>
          </w:p>
          <w:p w14:paraId="6E6678C4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8904B1" w:rsidRPr="00916ED2" w14:paraId="0B951434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1C40553A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</w:p>
        </w:tc>
        <w:tc>
          <w:tcPr>
            <w:tcW w:w="3261" w:type="dxa"/>
            <w:noWrap/>
            <w:hideMark/>
          </w:tcPr>
          <w:p w14:paraId="6B125055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1000µM (100 fold)</w:t>
            </w:r>
          </w:p>
        </w:tc>
        <w:tc>
          <w:tcPr>
            <w:tcW w:w="3685" w:type="dxa"/>
          </w:tcPr>
          <w:p w14:paraId="38A0CAE9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-1.94</w:t>
            </w:r>
          </w:p>
        </w:tc>
      </w:tr>
      <w:tr w:rsidR="008904B1" w:rsidRPr="00916ED2" w14:paraId="73CA37C4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7134D446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KCl</w:t>
            </w:r>
          </w:p>
        </w:tc>
        <w:tc>
          <w:tcPr>
            <w:tcW w:w="3261" w:type="dxa"/>
            <w:noWrap/>
            <w:hideMark/>
          </w:tcPr>
          <w:p w14:paraId="12C062EA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1000µM (100fold)</w:t>
            </w:r>
          </w:p>
        </w:tc>
        <w:tc>
          <w:tcPr>
            <w:tcW w:w="3685" w:type="dxa"/>
          </w:tcPr>
          <w:p w14:paraId="799F6A9E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-2.75</w:t>
            </w:r>
          </w:p>
        </w:tc>
      </w:tr>
      <w:tr w:rsidR="008904B1" w:rsidRPr="00916ED2" w14:paraId="728E3EAF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2FCA4A86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Ca(CH</w:t>
            </w:r>
            <w:r w:rsidRPr="00916E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COO)</w:t>
            </w:r>
            <w:r w:rsidRPr="00916E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261" w:type="dxa"/>
            <w:noWrap/>
            <w:hideMark/>
          </w:tcPr>
          <w:p w14:paraId="7E99B4F1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1000µM (100fold)</w:t>
            </w:r>
          </w:p>
        </w:tc>
        <w:tc>
          <w:tcPr>
            <w:tcW w:w="3685" w:type="dxa"/>
          </w:tcPr>
          <w:p w14:paraId="69BF7F94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-3.14</w:t>
            </w:r>
          </w:p>
        </w:tc>
      </w:tr>
      <w:tr w:rsidR="008904B1" w:rsidRPr="00916ED2" w14:paraId="4F57BF10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5607AB52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Mg(NO</w:t>
            </w:r>
            <w:r w:rsidRPr="00916E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16E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261" w:type="dxa"/>
            <w:noWrap/>
            <w:hideMark/>
          </w:tcPr>
          <w:p w14:paraId="7F444A6B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1000µM (100fold)</w:t>
            </w:r>
          </w:p>
        </w:tc>
        <w:tc>
          <w:tcPr>
            <w:tcW w:w="3685" w:type="dxa"/>
          </w:tcPr>
          <w:p w14:paraId="79E7DEB5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-2.56</w:t>
            </w:r>
          </w:p>
        </w:tc>
      </w:tr>
      <w:tr w:rsidR="008904B1" w:rsidRPr="00916ED2" w14:paraId="0A4728B8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7449A5A5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Zn(CH</w:t>
            </w:r>
            <w:r w:rsidRPr="00916E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COO)</w:t>
            </w:r>
            <w:r w:rsidRPr="00916E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261" w:type="dxa"/>
            <w:noWrap/>
            <w:hideMark/>
          </w:tcPr>
          <w:p w14:paraId="4864AD2B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300µM (30fold)</w:t>
            </w:r>
          </w:p>
        </w:tc>
        <w:tc>
          <w:tcPr>
            <w:tcW w:w="3685" w:type="dxa"/>
          </w:tcPr>
          <w:p w14:paraId="595418C5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3.35</w:t>
            </w:r>
          </w:p>
        </w:tc>
      </w:tr>
      <w:tr w:rsidR="008904B1" w:rsidRPr="00916ED2" w14:paraId="7AEB98D7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66F1C494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 xml:space="preserve"> Pb(CH</w:t>
            </w:r>
            <w:r w:rsidRPr="00916E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COO)</w:t>
            </w:r>
            <w:r w:rsidRPr="00916E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261" w:type="dxa"/>
            <w:noWrap/>
            <w:hideMark/>
          </w:tcPr>
          <w:p w14:paraId="640F4245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300µM (30fold)</w:t>
            </w:r>
          </w:p>
        </w:tc>
        <w:tc>
          <w:tcPr>
            <w:tcW w:w="3685" w:type="dxa"/>
          </w:tcPr>
          <w:p w14:paraId="386E4F79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</w:tr>
      <w:tr w:rsidR="008904B1" w:rsidRPr="00916ED2" w14:paraId="05C20206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3B535FAD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 xml:space="preserve">Luteolin </w:t>
            </w:r>
          </w:p>
        </w:tc>
        <w:tc>
          <w:tcPr>
            <w:tcW w:w="3261" w:type="dxa"/>
            <w:noWrap/>
            <w:hideMark/>
          </w:tcPr>
          <w:p w14:paraId="088A3529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100µM (10fold)</w:t>
            </w:r>
          </w:p>
        </w:tc>
        <w:tc>
          <w:tcPr>
            <w:tcW w:w="3685" w:type="dxa"/>
          </w:tcPr>
          <w:p w14:paraId="39261A0C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</w:t>
            </w:r>
          </w:p>
        </w:tc>
      </w:tr>
      <w:tr w:rsidR="008904B1" w:rsidRPr="00916ED2" w14:paraId="29706FFC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7ED4547A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Quercetin</w:t>
            </w:r>
          </w:p>
        </w:tc>
        <w:tc>
          <w:tcPr>
            <w:tcW w:w="3261" w:type="dxa"/>
            <w:noWrap/>
            <w:hideMark/>
          </w:tcPr>
          <w:p w14:paraId="32B9C448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100µM (10fold)</w:t>
            </w:r>
          </w:p>
        </w:tc>
        <w:tc>
          <w:tcPr>
            <w:tcW w:w="3685" w:type="dxa"/>
          </w:tcPr>
          <w:p w14:paraId="1BABD0A8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</w:tr>
      <w:tr w:rsidR="008904B1" w:rsidRPr="00916ED2" w14:paraId="053E9340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5984DDCD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Morin</w:t>
            </w:r>
          </w:p>
        </w:tc>
        <w:tc>
          <w:tcPr>
            <w:tcW w:w="3261" w:type="dxa"/>
            <w:noWrap/>
            <w:hideMark/>
          </w:tcPr>
          <w:p w14:paraId="593DF7B5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100µM (10fold)</w:t>
            </w:r>
          </w:p>
        </w:tc>
        <w:tc>
          <w:tcPr>
            <w:tcW w:w="3685" w:type="dxa"/>
          </w:tcPr>
          <w:p w14:paraId="3954CCB8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-1.61</w:t>
            </w:r>
          </w:p>
        </w:tc>
      </w:tr>
      <w:tr w:rsidR="008904B1" w:rsidRPr="00916ED2" w14:paraId="0D56ED9A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4CA3C103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261" w:type="dxa"/>
            <w:noWrap/>
            <w:hideMark/>
          </w:tcPr>
          <w:p w14:paraId="413063DC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500µM (50fold)</w:t>
            </w:r>
          </w:p>
        </w:tc>
        <w:tc>
          <w:tcPr>
            <w:tcW w:w="3685" w:type="dxa"/>
          </w:tcPr>
          <w:p w14:paraId="7873CB9B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</w:tr>
      <w:tr w:rsidR="008904B1" w:rsidRPr="00916ED2" w14:paraId="1EB3F3FB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5AE5DCD3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3261" w:type="dxa"/>
            <w:noWrap/>
            <w:hideMark/>
          </w:tcPr>
          <w:p w14:paraId="3F55671D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500µM (50fold)</w:t>
            </w:r>
          </w:p>
        </w:tc>
        <w:tc>
          <w:tcPr>
            <w:tcW w:w="3685" w:type="dxa"/>
          </w:tcPr>
          <w:p w14:paraId="4A61A2EB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</w:t>
            </w:r>
          </w:p>
        </w:tc>
      </w:tr>
      <w:tr w:rsidR="008904B1" w:rsidRPr="00916ED2" w14:paraId="2E223DB3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78A39928" w14:textId="063C32A8" w:rsidR="008904B1" w:rsidRPr="00916ED2" w:rsidRDefault="001814E4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904B1" w:rsidRPr="00916ED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261" w:type="dxa"/>
            <w:noWrap/>
            <w:hideMark/>
          </w:tcPr>
          <w:p w14:paraId="37377D7B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500µM (50fold)</w:t>
            </w:r>
          </w:p>
        </w:tc>
        <w:tc>
          <w:tcPr>
            <w:tcW w:w="3685" w:type="dxa"/>
          </w:tcPr>
          <w:p w14:paraId="66D5AB87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</w:tr>
      <w:tr w:rsidR="008904B1" w:rsidRPr="00916ED2" w14:paraId="0EAECD8C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72A5C5D4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Phenol</w:t>
            </w:r>
          </w:p>
        </w:tc>
        <w:tc>
          <w:tcPr>
            <w:tcW w:w="3261" w:type="dxa"/>
            <w:noWrap/>
            <w:hideMark/>
          </w:tcPr>
          <w:p w14:paraId="5CA352FF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500µM (50fold)</w:t>
            </w:r>
          </w:p>
        </w:tc>
        <w:tc>
          <w:tcPr>
            <w:tcW w:w="3685" w:type="dxa"/>
          </w:tcPr>
          <w:p w14:paraId="00B3D995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8904B1" w:rsidRPr="00916ED2" w14:paraId="4BA6BB81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631031F9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p-nitrophenol</w:t>
            </w:r>
          </w:p>
        </w:tc>
        <w:tc>
          <w:tcPr>
            <w:tcW w:w="3261" w:type="dxa"/>
            <w:noWrap/>
            <w:hideMark/>
          </w:tcPr>
          <w:p w14:paraId="7F5A190C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500µM (50fold)</w:t>
            </w:r>
          </w:p>
        </w:tc>
        <w:tc>
          <w:tcPr>
            <w:tcW w:w="3685" w:type="dxa"/>
          </w:tcPr>
          <w:p w14:paraId="3E7FE5FC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4.65</w:t>
            </w:r>
          </w:p>
        </w:tc>
      </w:tr>
      <w:tr w:rsidR="008904B1" w:rsidRPr="00916ED2" w14:paraId="4018A189" w14:textId="77777777" w:rsidTr="006F1741">
        <w:trPr>
          <w:trHeight w:val="28"/>
        </w:trPr>
        <w:tc>
          <w:tcPr>
            <w:tcW w:w="2943" w:type="dxa"/>
            <w:noWrap/>
            <w:hideMark/>
          </w:tcPr>
          <w:p w14:paraId="56741E3A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3261" w:type="dxa"/>
            <w:noWrap/>
            <w:hideMark/>
          </w:tcPr>
          <w:p w14:paraId="3FB87328" w14:textId="77777777" w:rsidR="008904B1" w:rsidRPr="00916ED2" w:rsidRDefault="008904B1" w:rsidP="0081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sz w:val="24"/>
                <w:szCs w:val="24"/>
              </w:rPr>
              <w:t>500µM (50fold)</w:t>
            </w:r>
          </w:p>
        </w:tc>
        <w:tc>
          <w:tcPr>
            <w:tcW w:w="3685" w:type="dxa"/>
          </w:tcPr>
          <w:p w14:paraId="2226A870" w14:textId="77777777" w:rsidR="008904B1" w:rsidRPr="00916ED2" w:rsidRDefault="008904B1" w:rsidP="0081201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</w:t>
            </w:r>
          </w:p>
        </w:tc>
      </w:tr>
    </w:tbl>
    <w:p w14:paraId="257CC3F1" w14:textId="77777777" w:rsidR="008904B1" w:rsidRPr="00916ED2" w:rsidRDefault="008904B1" w:rsidP="004503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927466" w14:textId="77777777" w:rsidR="009F1B28" w:rsidRDefault="009F1B28"/>
    <w:sectPr w:rsidR="009F1B28" w:rsidSect="00F13394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D7"/>
    <w:rsid w:val="001814E4"/>
    <w:rsid w:val="001E750B"/>
    <w:rsid w:val="004503DC"/>
    <w:rsid w:val="006B094B"/>
    <w:rsid w:val="006F1741"/>
    <w:rsid w:val="00775E5B"/>
    <w:rsid w:val="007A2C2D"/>
    <w:rsid w:val="008904B1"/>
    <w:rsid w:val="009F1B28"/>
    <w:rsid w:val="00D65AA0"/>
    <w:rsid w:val="00F13394"/>
    <w:rsid w:val="00F7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F38B3"/>
  <w15:chartTrackingRefBased/>
  <w15:docId w15:val="{7EC37FA5-547C-4F7A-8E7E-68229498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D7"/>
    <w:pPr>
      <w:spacing w:after="200" w:line="276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4503D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8904B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D65AA0"/>
    <w:rPr>
      <w:color w:val="0000FF"/>
      <w:u w:val="single"/>
    </w:rPr>
  </w:style>
  <w:style w:type="character" w:styleId="SatrNumaras">
    <w:name w:val="line number"/>
    <w:basedOn w:val="VarsaylanParagrafYazTipi"/>
    <w:uiPriority w:val="99"/>
    <w:semiHidden/>
    <w:unhideWhenUsed/>
    <w:rsid w:val="00F13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hyperlink" Target="https://www.sciencedirect.com/science/article/pii/S0026265X22010803?via%3Dihub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2023-01-02T07:01:00Z</dcterms:created>
  <dcterms:modified xsi:type="dcterms:W3CDTF">2023-06-12T11:29:00Z</dcterms:modified>
</cp:coreProperties>
</file>