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C97368" w14:textId="77777777" w:rsidR="00D414F6" w:rsidRPr="007F3343" w:rsidRDefault="00D414F6" w:rsidP="00D414F6">
      <w:pPr>
        <w:tabs>
          <w:tab w:val="left" w:pos="6420"/>
        </w:tabs>
        <w:spacing w:line="360" w:lineRule="auto"/>
        <w:ind w:left="360"/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7F3343">
        <w:rPr>
          <w:rFonts w:asciiTheme="majorBidi" w:hAnsiTheme="majorBidi" w:cstheme="majorBidi"/>
          <w:b/>
          <w:bCs/>
          <w:sz w:val="20"/>
          <w:szCs w:val="20"/>
        </w:rPr>
        <w:t>Tab. 1. Review of research samples</w:t>
      </w:r>
    </w:p>
    <w:tbl>
      <w:tblPr>
        <w:tblStyle w:val="TableGrid"/>
        <w:tblW w:w="0" w:type="auto"/>
        <w:tblInd w:w="360" w:type="dxa"/>
        <w:tblLook w:val="04A0" w:firstRow="1" w:lastRow="0" w:firstColumn="1" w:lastColumn="0" w:noHBand="0" w:noVBand="1"/>
      </w:tblPr>
      <w:tblGrid>
        <w:gridCol w:w="417"/>
        <w:gridCol w:w="702"/>
        <w:gridCol w:w="615"/>
        <w:gridCol w:w="615"/>
        <w:gridCol w:w="615"/>
        <w:gridCol w:w="615"/>
        <w:gridCol w:w="615"/>
        <w:gridCol w:w="577"/>
        <w:gridCol w:w="613"/>
        <w:gridCol w:w="615"/>
        <w:gridCol w:w="615"/>
        <w:gridCol w:w="2376"/>
      </w:tblGrid>
      <w:tr w:rsidR="00D414F6" w:rsidRPr="007F3343" w14:paraId="4326ED2F" w14:textId="77777777" w:rsidTr="00FD6D86">
        <w:trPr>
          <w:cantSplit/>
          <w:trHeight w:val="2222"/>
        </w:trPr>
        <w:tc>
          <w:tcPr>
            <w:tcW w:w="417" w:type="dxa"/>
            <w:vAlign w:val="center"/>
          </w:tcPr>
          <w:p w14:paraId="245D2936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41" w:type="dxa"/>
            <w:textDirection w:val="btLr"/>
            <w:vAlign w:val="center"/>
          </w:tcPr>
          <w:p w14:paraId="2502BA96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the building</w:t>
            </w:r>
          </w:p>
        </w:tc>
        <w:tc>
          <w:tcPr>
            <w:tcW w:w="627" w:type="dxa"/>
            <w:textDirection w:val="btLr"/>
            <w:vAlign w:val="center"/>
          </w:tcPr>
          <w:p w14:paraId="74BCC848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  <w:lang w:bidi="fa-IR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Total property area (total land)</w:t>
            </w:r>
          </w:p>
        </w:tc>
        <w:tc>
          <w:tcPr>
            <w:tcW w:w="627" w:type="dxa"/>
            <w:textDirection w:val="btLr"/>
            <w:vAlign w:val="center"/>
          </w:tcPr>
          <w:p w14:paraId="095C706A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Area and percentage of occupancy level</w:t>
            </w:r>
          </w:p>
        </w:tc>
        <w:tc>
          <w:tcPr>
            <w:tcW w:w="627" w:type="dxa"/>
            <w:textDirection w:val="btLr"/>
            <w:vAlign w:val="center"/>
          </w:tcPr>
          <w:p w14:paraId="3A514888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Area and percentage of outside mobility</w:t>
            </w:r>
          </w:p>
        </w:tc>
        <w:tc>
          <w:tcPr>
            <w:tcW w:w="627" w:type="dxa"/>
            <w:textDirection w:val="btLr"/>
            <w:vAlign w:val="center"/>
          </w:tcPr>
          <w:p w14:paraId="5B5861D2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Area and percentage of green space</w:t>
            </w:r>
          </w:p>
        </w:tc>
        <w:tc>
          <w:tcPr>
            <w:tcW w:w="627" w:type="dxa"/>
            <w:textDirection w:val="btLr"/>
            <w:vAlign w:val="center"/>
          </w:tcPr>
          <w:p w14:paraId="68AD9C03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Area and percentage of fountain space</w:t>
            </w:r>
          </w:p>
        </w:tc>
        <w:tc>
          <w:tcPr>
            <w:tcW w:w="567" w:type="dxa"/>
            <w:textDirection w:val="btLr"/>
            <w:vAlign w:val="center"/>
          </w:tcPr>
          <w:p w14:paraId="6747206A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Closed space density</w:t>
            </w:r>
          </w:p>
        </w:tc>
        <w:tc>
          <w:tcPr>
            <w:tcW w:w="625" w:type="dxa"/>
            <w:textDirection w:val="btLr"/>
            <w:vAlign w:val="center"/>
          </w:tcPr>
          <w:p w14:paraId="2EB36FFB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amount of internal mobility space</w:t>
            </w:r>
          </w:p>
        </w:tc>
        <w:tc>
          <w:tcPr>
            <w:tcW w:w="627" w:type="dxa"/>
            <w:textDirection w:val="btLr"/>
            <w:vAlign w:val="center"/>
          </w:tcPr>
          <w:p w14:paraId="34DBB21F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amount of internal stillness space</w:t>
            </w:r>
          </w:p>
        </w:tc>
        <w:tc>
          <w:tcPr>
            <w:tcW w:w="627" w:type="dxa"/>
            <w:textDirection w:val="btLr"/>
            <w:vAlign w:val="center"/>
          </w:tcPr>
          <w:p w14:paraId="6B4D231B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The amount of internal physical space</w:t>
            </w:r>
          </w:p>
        </w:tc>
        <w:tc>
          <w:tcPr>
            <w:tcW w:w="2251" w:type="dxa"/>
            <w:textDirection w:val="btLr"/>
            <w:vAlign w:val="center"/>
          </w:tcPr>
          <w:p w14:paraId="0948A678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Floor plan</w:t>
            </w:r>
          </w:p>
        </w:tc>
      </w:tr>
      <w:tr w:rsidR="00D414F6" w:rsidRPr="007F3343" w14:paraId="7C360052" w14:textId="77777777" w:rsidTr="00FD6D86">
        <w:trPr>
          <w:cantSplit/>
          <w:trHeight w:val="1545"/>
        </w:trPr>
        <w:tc>
          <w:tcPr>
            <w:tcW w:w="417" w:type="dxa"/>
            <w:vMerge w:val="restart"/>
            <w:vAlign w:val="center"/>
          </w:tcPr>
          <w:p w14:paraId="476608A1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3065D93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House of Tehran Imam of Friday Prayer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4E49D1F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879</w:t>
            </w:r>
          </w:p>
        </w:tc>
        <w:tc>
          <w:tcPr>
            <w:tcW w:w="627" w:type="dxa"/>
            <w:textDirection w:val="btLr"/>
            <w:vAlign w:val="center"/>
          </w:tcPr>
          <w:p w14:paraId="0108CE2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369</w:t>
            </w:r>
          </w:p>
        </w:tc>
        <w:tc>
          <w:tcPr>
            <w:tcW w:w="627" w:type="dxa"/>
            <w:textDirection w:val="btLr"/>
            <w:vAlign w:val="center"/>
          </w:tcPr>
          <w:p w14:paraId="49DA0E8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431</w:t>
            </w:r>
          </w:p>
        </w:tc>
        <w:tc>
          <w:tcPr>
            <w:tcW w:w="627" w:type="dxa"/>
            <w:textDirection w:val="btLr"/>
            <w:vAlign w:val="center"/>
          </w:tcPr>
          <w:p w14:paraId="4D6B3E4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746</w:t>
            </w:r>
          </w:p>
        </w:tc>
        <w:tc>
          <w:tcPr>
            <w:tcW w:w="627" w:type="dxa"/>
            <w:textDirection w:val="btLr"/>
            <w:vAlign w:val="center"/>
          </w:tcPr>
          <w:p w14:paraId="264055A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404</w:t>
            </w:r>
          </w:p>
        </w:tc>
        <w:tc>
          <w:tcPr>
            <w:tcW w:w="567" w:type="dxa"/>
            <w:textDirection w:val="btLr"/>
            <w:vAlign w:val="center"/>
          </w:tcPr>
          <w:p w14:paraId="0D229BD2" w14:textId="77777777" w:rsidR="00D414F6" w:rsidRPr="007F3343" w:rsidRDefault="00D414F6" w:rsidP="00FD6D86">
            <w:pPr>
              <w:autoSpaceDE w:val="0"/>
              <w:autoSpaceDN w:val="0"/>
              <w:bidi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656.7</w:t>
            </w:r>
          </w:p>
        </w:tc>
        <w:tc>
          <w:tcPr>
            <w:tcW w:w="625" w:type="dxa"/>
            <w:textDirection w:val="btLr"/>
            <w:vAlign w:val="center"/>
          </w:tcPr>
          <w:p w14:paraId="03C08AF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265.3</w:t>
            </w:r>
          </w:p>
        </w:tc>
        <w:tc>
          <w:tcPr>
            <w:tcW w:w="627" w:type="dxa"/>
            <w:textDirection w:val="btLr"/>
            <w:vAlign w:val="center"/>
          </w:tcPr>
          <w:p w14:paraId="0C9F66F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243.7</w:t>
            </w:r>
          </w:p>
        </w:tc>
        <w:tc>
          <w:tcPr>
            <w:tcW w:w="627" w:type="dxa"/>
            <w:textDirection w:val="btLr"/>
            <w:vAlign w:val="center"/>
          </w:tcPr>
          <w:p w14:paraId="5A3CFD2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147.7</w:t>
            </w:r>
          </w:p>
        </w:tc>
        <w:tc>
          <w:tcPr>
            <w:tcW w:w="2251" w:type="dxa"/>
            <w:vMerge w:val="restart"/>
          </w:tcPr>
          <w:p w14:paraId="70C86D39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7BEA23A" wp14:editId="07623ED9">
                  <wp:extent cx="1097280" cy="878205"/>
                  <wp:effectExtent l="0" t="0" r="762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7280" cy="8782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4131C6A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F11D203" wp14:editId="49B2AC5C">
                  <wp:extent cx="1091565" cy="920750"/>
                  <wp:effectExtent l="0" t="0" r="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1565" cy="920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03993654" w14:textId="77777777" w:rsidTr="00FD6D86">
        <w:trPr>
          <w:cantSplit/>
          <w:trHeight w:val="834"/>
        </w:trPr>
        <w:tc>
          <w:tcPr>
            <w:tcW w:w="417" w:type="dxa"/>
            <w:vMerge/>
            <w:vAlign w:val="center"/>
          </w:tcPr>
          <w:p w14:paraId="3EB7469F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181D0CE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2D854DF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6E0CD83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42.0%</w:t>
            </w:r>
          </w:p>
        </w:tc>
        <w:tc>
          <w:tcPr>
            <w:tcW w:w="627" w:type="dxa"/>
            <w:textDirection w:val="btLr"/>
            <w:vAlign w:val="center"/>
          </w:tcPr>
          <w:p w14:paraId="7DCFADD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49.0%</w:t>
            </w:r>
          </w:p>
        </w:tc>
        <w:tc>
          <w:tcPr>
            <w:tcW w:w="627" w:type="dxa"/>
            <w:textDirection w:val="btLr"/>
            <w:vAlign w:val="center"/>
          </w:tcPr>
          <w:p w14:paraId="234DE91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8.5%</w:t>
            </w:r>
          </w:p>
        </w:tc>
        <w:tc>
          <w:tcPr>
            <w:tcW w:w="627" w:type="dxa"/>
            <w:textDirection w:val="btLr"/>
            <w:vAlign w:val="center"/>
          </w:tcPr>
          <w:p w14:paraId="7EF460F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0.5%</w:t>
            </w:r>
          </w:p>
        </w:tc>
        <w:tc>
          <w:tcPr>
            <w:tcW w:w="567" w:type="dxa"/>
            <w:textDirection w:val="btLr"/>
            <w:vAlign w:val="center"/>
          </w:tcPr>
          <w:p w14:paraId="00399BE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74.7%</w:t>
            </w:r>
          </w:p>
        </w:tc>
        <w:tc>
          <w:tcPr>
            <w:tcW w:w="625" w:type="dxa"/>
            <w:textDirection w:val="btLr"/>
            <w:vAlign w:val="center"/>
          </w:tcPr>
          <w:p w14:paraId="3D1DFC2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40.4%</w:t>
            </w:r>
          </w:p>
        </w:tc>
        <w:tc>
          <w:tcPr>
            <w:tcW w:w="627" w:type="dxa"/>
            <w:textDirection w:val="btLr"/>
            <w:vAlign w:val="center"/>
          </w:tcPr>
          <w:p w14:paraId="425F2FD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37.1%</w:t>
            </w:r>
          </w:p>
        </w:tc>
        <w:tc>
          <w:tcPr>
            <w:tcW w:w="627" w:type="dxa"/>
            <w:textDirection w:val="btLr"/>
            <w:vAlign w:val="center"/>
          </w:tcPr>
          <w:p w14:paraId="58BB6B3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22.5%</w:t>
            </w:r>
          </w:p>
        </w:tc>
        <w:tc>
          <w:tcPr>
            <w:tcW w:w="2251" w:type="dxa"/>
            <w:vMerge/>
          </w:tcPr>
          <w:p w14:paraId="290D7048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2D04DF34" w14:textId="77777777" w:rsidTr="00FD6D86">
        <w:trPr>
          <w:cantSplit/>
          <w:trHeight w:val="1124"/>
        </w:trPr>
        <w:tc>
          <w:tcPr>
            <w:tcW w:w="417" w:type="dxa"/>
            <w:vMerge w:val="restart"/>
            <w:vAlign w:val="center"/>
          </w:tcPr>
          <w:p w14:paraId="27C5E286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6D8FF66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Reza Khan House, Tehran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46EC074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360</w:t>
            </w:r>
          </w:p>
        </w:tc>
        <w:tc>
          <w:tcPr>
            <w:tcW w:w="627" w:type="dxa"/>
            <w:textDirection w:val="btLr"/>
            <w:vAlign w:val="center"/>
          </w:tcPr>
          <w:p w14:paraId="67E054C2" w14:textId="77777777" w:rsidR="00D414F6" w:rsidRPr="007F3343" w:rsidRDefault="00D414F6" w:rsidP="00FD6D86">
            <w:pPr>
              <w:autoSpaceDE w:val="0"/>
              <w:autoSpaceDN w:val="0"/>
              <w:bidi/>
              <w:adjustRightInd w:val="0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  <w:rtl/>
                <w:lang w:bidi="fa-IR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  <w:lang w:bidi="fa-IR"/>
              </w:rPr>
              <w:t>209.0</w:t>
            </w:r>
          </w:p>
        </w:tc>
        <w:tc>
          <w:tcPr>
            <w:tcW w:w="627" w:type="dxa"/>
            <w:textDirection w:val="btLr"/>
            <w:vAlign w:val="center"/>
          </w:tcPr>
          <w:p w14:paraId="24207D2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107.9</w:t>
            </w:r>
          </w:p>
        </w:tc>
        <w:tc>
          <w:tcPr>
            <w:tcW w:w="627" w:type="dxa"/>
            <w:textDirection w:val="btLr"/>
            <w:vAlign w:val="center"/>
          </w:tcPr>
          <w:p w14:paraId="0D6D2EF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35.2</w:t>
            </w:r>
          </w:p>
        </w:tc>
        <w:tc>
          <w:tcPr>
            <w:tcW w:w="627" w:type="dxa"/>
            <w:textDirection w:val="btLr"/>
            <w:vAlign w:val="center"/>
          </w:tcPr>
          <w:p w14:paraId="30B044C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7.9</w:t>
            </w:r>
          </w:p>
        </w:tc>
        <w:tc>
          <w:tcPr>
            <w:tcW w:w="567" w:type="dxa"/>
            <w:textDirection w:val="btLr"/>
            <w:vAlign w:val="center"/>
          </w:tcPr>
          <w:p w14:paraId="754B47D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209.0</w:t>
            </w:r>
          </w:p>
        </w:tc>
        <w:tc>
          <w:tcPr>
            <w:tcW w:w="625" w:type="dxa"/>
            <w:textDirection w:val="btLr"/>
            <w:vAlign w:val="center"/>
          </w:tcPr>
          <w:p w14:paraId="641073E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104.5</w:t>
            </w:r>
          </w:p>
        </w:tc>
        <w:tc>
          <w:tcPr>
            <w:tcW w:w="627" w:type="dxa"/>
            <w:textDirection w:val="btLr"/>
            <w:vAlign w:val="center"/>
          </w:tcPr>
          <w:p w14:paraId="663C1D2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60.4</w:t>
            </w:r>
          </w:p>
        </w:tc>
        <w:tc>
          <w:tcPr>
            <w:tcW w:w="627" w:type="dxa"/>
            <w:textDirection w:val="btLr"/>
            <w:vAlign w:val="center"/>
          </w:tcPr>
          <w:p w14:paraId="2B36EA5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44.1</w:t>
            </w:r>
          </w:p>
        </w:tc>
        <w:tc>
          <w:tcPr>
            <w:tcW w:w="2251" w:type="dxa"/>
            <w:vMerge w:val="restart"/>
            <w:vAlign w:val="center"/>
          </w:tcPr>
          <w:p w14:paraId="74C7B8AE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668B1525" wp14:editId="00B7107A">
                  <wp:extent cx="1077686" cy="896717"/>
                  <wp:effectExtent l="0" t="0" r="8255" b="0"/>
                  <wp:docPr id="29" name="Picture 29" descr="C:\Users\win.ashraf\Desktop\مقاله پویش و سکون\خانه رضا خان 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win.ashraf\Desktop\مقاله پویش و سکون\خانه رضا خان 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370" r="15946"/>
                          <a:stretch/>
                        </pic:blipFill>
                        <pic:spPr bwMode="auto">
                          <a:xfrm>
                            <a:off x="0" y="0"/>
                            <a:ext cx="1104379" cy="918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1AC3180C" w14:textId="77777777" w:rsidTr="00FD6D86">
        <w:trPr>
          <w:cantSplit/>
          <w:trHeight w:val="987"/>
        </w:trPr>
        <w:tc>
          <w:tcPr>
            <w:tcW w:w="417" w:type="dxa"/>
            <w:vMerge/>
            <w:vAlign w:val="center"/>
          </w:tcPr>
          <w:p w14:paraId="2EF38843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4FBF38E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75F7939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35E7051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58.0%</w:t>
            </w:r>
          </w:p>
        </w:tc>
        <w:tc>
          <w:tcPr>
            <w:tcW w:w="627" w:type="dxa"/>
            <w:textDirection w:val="btLr"/>
            <w:vAlign w:val="center"/>
          </w:tcPr>
          <w:p w14:paraId="7ABB246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30.0%</w:t>
            </w:r>
          </w:p>
        </w:tc>
        <w:tc>
          <w:tcPr>
            <w:tcW w:w="627" w:type="dxa"/>
            <w:textDirection w:val="btLr"/>
            <w:vAlign w:val="center"/>
          </w:tcPr>
          <w:p w14:paraId="786FCC6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9.8%</w:t>
            </w:r>
          </w:p>
        </w:tc>
        <w:tc>
          <w:tcPr>
            <w:tcW w:w="627" w:type="dxa"/>
            <w:textDirection w:val="btLr"/>
            <w:vAlign w:val="center"/>
          </w:tcPr>
          <w:p w14:paraId="740218C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2.2%</w:t>
            </w:r>
          </w:p>
        </w:tc>
        <w:tc>
          <w:tcPr>
            <w:tcW w:w="567" w:type="dxa"/>
            <w:textDirection w:val="btLr"/>
            <w:vAlign w:val="center"/>
          </w:tcPr>
          <w:p w14:paraId="0F7DB0D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58.0%</w:t>
            </w:r>
          </w:p>
        </w:tc>
        <w:tc>
          <w:tcPr>
            <w:tcW w:w="625" w:type="dxa"/>
            <w:textDirection w:val="btLr"/>
            <w:vAlign w:val="center"/>
          </w:tcPr>
          <w:p w14:paraId="63F6B9A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50.0%</w:t>
            </w:r>
          </w:p>
        </w:tc>
        <w:tc>
          <w:tcPr>
            <w:tcW w:w="627" w:type="dxa"/>
            <w:textDirection w:val="btLr"/>
            <w:vAlign w:val="center"/>
          </w:tcPr>
          <w:p w14:paraId="0B3DB57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28.9%</w:t>
            </w:r>
          </w:p>
        </w:tc>
        <w:tc>
          <w:tcPr>
            <w:tcW w:w="627" w:type="dxa"/>
            <w:textDirection w:val="btLr"/>
            <w:vAlign w:val="center"/>
          </w:tcPr>
          <w:p w14:paraId="5967F9C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21.1%</w:t>
            </w:r>
          </w:p>
        </w:tc>
        <w:tc>
          <w:tcPr>
            <w:tcW w:w="2251" w:type="dxa"/>
            <w:vMerge/>
          </w:tcPr>
          <w:p w14:paraId="04E68684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76D5EC9E" w14:textId="77777777" w:rsidTr="00FD6D86">
        <w:trPr>
          <w:cantSplit/>
          <w:trHeight w:val="2403"/>
        </w:trPr>
        <w:tc>
          <w:tcPr>
            <w:tcW w:w="417" w:type="dxa"/>
            <w:vMerge w:val="restart"/>
            <w:vAlign w:val="center"/>
          </w:tcPr>
          <w:p w14:paraId="497E50A3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0DE8539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Jalal Al Ahmad House, Tehran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24DC4BB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354</w:t>
            </w:r>
          </w:p>
        </w:tc>
        <w:tc>
          <w:tcPr>
            <w:tcW w:w="627" w:type="dxa"/>
            <w:textDirection w:val="btLr"/>
            <w:vAlign w:val="center"/>
          </w:tcPr>
          <w:p w14:paraId="325135E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333.6</w:t>
            </w:r>
          </w:p>
        </w:tc>
        <w:tc>
          <w:tcPr>
            <w:tcW w:w="627" w:type="dxa"/>
            <w:textDirection w:val="btLr"/>
            <w:vAlign w:val="center"/>
          </w:tcPr>
          <w:p w14:paraId="708D758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95.7</w:t>
            </w:r>
          </w:p>
        </w:tc>
        <w:tc>
          <w:tcPr>
            <w:tcW w:w="627" w:type="dxa"/>
            <w:textDirection w:val="btLr"/>
            <w:vAlign w:val="center"/>
          </w:tcPr>
          <w:p w14:paraId="7DE3502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8.5</w:t>
            </w:r>
          </w:p>
        </w:tc>
        <w:tc>
          <w:tcPr>
            <w:tcW w:w="627" w:type="dxa"/>
            <w:textDirection w:val="btLr"/>
            <w:vAlign w:val="center"/>
          </w:tcPr>
          <w:p w14:paraId="1486CF5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16.2</w:t>
            </w:r>
          </w:p>
        </w:tc>
        <w:tc>
          <w:tcPr>
            <w:tcW w:w="567" w:type="dxa"/>
            <w:textDirection w:val="btLr"/>
            <w:vAlign w:val="center"/>
          </w:tcPr>
          <w:p w14:paraId="12CD417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578.5</w:t>
            </w:r>
          </w:p>
        </w:tc>
        <w:tc>
          <w:tcPr>
            <w:tcW w:w="625" w:type="dxa"/>
            <w:textDirection w:val="btLr"/>
            <w:vAlign w:val="center"/>
          </w:tcPr>
          <w:p w14:paraId="6754DAD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208.2</w:t>
            </w:r>
          </w:p>
        </w:tc>
        <w:tc>
          <w:tcPr>
            <w:tcW w:w="627" w:type="dxa"/>
            <w:textDirection w:val="btLr"/>
            <w:vAlign w:val="center"/>
          </w:tcPr>
          <w:p w14:paraId="3D5CC39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176.6</w:t>
            </w:r>
          </w:p>
        </w:tc>
        <w:tc>
          <w:tcPr>
            <w:tcW w:w="627" w:type="dxa"/>
            <w:textDirection w:val="btLr"/>
            <w:vAlign w:val="center"/>
          </w:tcPr>
          <w:p w14:paraId="2AC9903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193.7</w:t>
            </w:r>
          </w:p>
        </w:tc>
        <w:tc>
          <w:tcPr>
            <w:tcW w:w="2251" w:type="dxa"/>
            <w:vMerge w:val="restart"/>
          </w:tcPr>
          <w:p w14:paraId="11AE6593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09FFB83E" wp14:editId="324BE48A">
                  <wp:extent cx="908957" cy="1000760"/>
                  <wp:effectExtent l="0" t="0" r="5715" b="8890"/>
                  <wp:docPr id="32" name="Picture 32" descr="C:\Users\win.ashraf\Desktop\مقاله پویش و سکون\طبقه همکف خانه جلال آل احمد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win.ashraf\Desktop\مقاله پویش و سکون\طبقه همکف خانه جلال آل احمد-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1641" cy="1014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A7B78D7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48B4216" wp14:editId="0D730DD0">
                  <wp:extent cx="1005840" cy="1036320"/>
                  <wp:effectExtent l="0" t="0" r="3810" b="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36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1DD7B20A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1E5AF28" wp14:editId="337D5169">
                  <wp:extent cx="865505" cy="871855"/>
                  <wp:effectExtent l="0" t="0" r="0" b="4445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5505" cy="871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30815481" w14:textId="77777777" w:rsidTr="00FD6D86">
        <w:trPr>
          <w:cantSplit/>
          <w:trHeight w:val="1772"/>
        </w:trPr>
        <w:tc>
          <w:tcPr>
            <w:tcW w:w="417" w:type="dxa"/>
            <w:vMerge/>
            <w:vAlign w:val="center"/>
          </w:tcPr>
          <w:p w14:paraId="07E35214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36D0734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75E426F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4CB8A5D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66.0%</w:t>
            </w:r>
          </w:p>
        </w:tc>
        <w:tc>
          <w:tcPr>
            <w:tcW w:w="627" w:type="dxa"/>
            <w:textDirection w:val="btLr"/>
            <w:vAlign w:val="center"/>
          </w:tcPr>
          <w:p w14:paraId="62BEA1D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27.0%</w:t>
            </w:r>
          </w:p>
        </w:tc>
        <w:tc>
          <w:tcPr>
            <w:tcW w:w="627" w:type="dxa"/>
            <w:textDirection w:val="btLr"/>
            <w:vAlign w:val="center"/>
          </w:tcPr>
          <w:p w14:paraId="4653773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2.4%</w:t>
            </w:r>
          </w:p>
        </w:tc>
        <w:tc>
          <w:tcPr>
            <w:tcW w:w="627" w:type="dxa"/>
            <w:textDirection w:val="btLr"/>
            <w:vAlign w:val="center"/>
          </w:tcPr>
          <w:p w14:paraId="0B10749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4.6%</w:t>
            </w:r>
          </w:p>
        </w:tc>
        <w:tc>
          <w:tcPr>
            <w:tcW w:w="567" w:type="dxa"/>
            <w:textDirection w:val="btLr"/>
            <w:vAlign w:val="center"/>
          </w:tcPr>
          <w:p w14:paraId="1155538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163.7%</w:t>
            </w:r>
          </w:p>
        </w:tc>
        <w:tc>
          <w:tcPr>
            <w:tcW w:w="625" w:type="dxa"/>
            <w:textDirection w:val="btLr"/>
            <w:vAlign w:val="center"/>
          </w:tcPr>
          <w:p w14:paraId="1172C60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36.0%</w:t>
            </w:r>
          </w:p>
        </w:tc>
        <w:tc>
          <w:tcPr>
            <w:tcW w:w="627" w:type="dxa"/>
            <w:textDirection w:val="btLr"/>
            <w:vAlign w:val="center"/>
          </w:tcPr>
          <w:p w14:paraId="7B24B04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30.5%</w:t>
            </w:r>
          </w:p>
        </w:tc>
        <w:tc>
          <w:tcPr>
            <w:tcW w:w="627" w:type="dxa"/>
            <w:textDirection w:val="btLr"/>
            <w:vAlign w:val="center"/>
          </w:tcPr>
          <w:p w14:paraId="498C29B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33.5%</w:t>
            </w:r>
          </w:p>
        </w:tc>
        <w:tc>
          <w:tcPr>
            <w:tcW w:w="2251" w:type="dxa"/>
            <w:vMerge/>
          </w:tcPr>
          <w:p w14:paraId="2128ACFE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32CA0B5C" w14:textId="77777777" w:rsidTr="00FD6D86">
        <w:trPr>
          <w:cantSplit/>
          <w:trHeight w:val="1451"/>
        </w:trPr>
        <w:tc>
          <w:tcPr>
            <w:tcW w:w="417" w:type="dxa"/>
            <w:vMerge w:val="restart"/>
            <w:vAlign w:val="center"/>
          </w:tcPr>
          <w:p w14:paraId="6C93B699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lastRenderedPageBreak/>
              <w:t>4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79D0EE5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Ghavam Al-Dawlah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5F5442A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627" w:type="dxa"/>
            <w:textDirection w:val="btLr"/>
            <w:vAlign w:val="center"/>
          </w:tcPr>
          <w:p w14:paraId="3E8E637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990.13</w:t>
            </w:r>
          </w:p>
        </w:tc>
        <w:tc>
          <w:tcPr>
            <w:tcW w:w="627" w:type="dxa"/>
            <w:textDirection w:val="btLr"/>
            <w:vAlign w:val="center"/>
          </w:tcPr>
          <w:p w14:paraId="778B127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1210.40</w:t>
            </w:r>
          </w:p>
        </w:tc>
        <w:tc>
          <w:tcPr>
            <w:tcW w:w="627" w:type="dxa"/>
            <w:textDirection w:val="btLr"/>
            <w:vAlign w:val="center"/>
          </w:tcPr>
          <w:p w14:paraId="2D51371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653.20</w:t>
            </w:r>
          </w:p>
        </w:tc>
        <w:tc>
          <w:tcPr>
            <w:tcW w:w="627" w:type="dxa"/>
            <w:textDirection w:val="btLr"/>
            <w:vAlign w:val="center"/>
          </w:tcPr>
          <w:p w14:paraId="1FBAC2E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146.27</w:t>
            </w:r>
          </w:p>
        </w:tc>
        <w:tc>
          <w:tcPr>
            <w:tcW w:w="567" w:type="dxa"/>
            <w:textDirection w:val="btLr"/>
            <w:vAlign w:val="center"/>
          </w:tcPr>
          <w:p w14:paraId="5AD2BF3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1929.37</w:t>
            </w:r>
          </w:p>
        </w:tc>
        <w:tc>
          <w:tcPr>
            <w:tcW w:w="625" w:type="dxa"/>
            <w:textDirection w:val="btLr"/>
            <w:vAlign w:val="center"/>
          </w:tcPr>
          <w:p w14:paraId="61FEE23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802.79</w:t>
            </w:r>
          </w:p>
        </w:tc>
        <w:tc>
          <w:tcPr>
            <w:tcW w:w="627" w:type="dxa"/>
            <w:textDirection w:val="btLr"/>
            <w:vAlign w:val="center"/>
          </w:tcPr>
          <w:p w14:paraId="0A39697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804.74</w:t>
            </w:r>
          </w:p>
        </w:tc>
        <w:tc>
          <w:tcPr>
            <w:tcW w:w="627" w:type="dxa"/>
            <w:textDirection w:val="btLr"/>
            <w:vAlign w:val="center"/>
          </w:tcPr>
          <w:p w14:paraId="5790D6D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321.84</w:t>
            </w:r>
          </w:p>
        </w:tc>
        <w:tc>
          <w:tcPr>
            <w:tcW w:w="2251" w:type="dxa"/>
            <w:vMerge w:val="restart"/>
          </w:tcPr>
          <w:p w14:paraId="6A900984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cs="B Nazanin"/>
                <w:noProof/>
                <w:sz w:val="28"/>
                <w:szCs w:val="28"/>
                <w:vertAlign w:val="subscript"/>
                <w:rtl/>
              </w:rPr>
              <w:drawing>
                <wp:inline distT="0" distB="0" distL="0" distR="0" wp14:anchorId="69A8E9FE" wp14:editId="1025AA5A">
                  <wp:extent cx="1270884" cy="771208"/>
                  <wp:effectExtent l="0" t="0" r="5715" b="0"/>
                  <wp:docPr id="34" name="Picture 34" descr="C:\Users\win.ashraf\Desktop\مقاله پویش و سکون\خانه قوام الدوله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.ashraf\Desktop\مقاله پویش و سکون\خانه قوام الدوله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360" b="17957"/>
                          <a:stretch/>
                        </pic:blipFill>
                        <pic:spPr bwMode="auto">
                          <a:xfrm>
                            <a:off x="0" y="0"/>
                            <a:ext cx="1275352" cy="773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004FE3D" wp14:editId="2A9A1ED6">
                  <wp:extent cx="1073150" cy="615950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15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2CA4C729" w14:textId="77777777" w:rsidTr="00FD6D86">
        <w:trPr>
          <w:cantSplit/>
          <w:trHeight w:val="1259"/>
        </w:trPr>
        <w:tc>
          <w:tcPr>
            <w:tcW w:w="417" w:type="dxa"/>
            <w:vMerge/>
            <w:vAlign w:val="center"/>
          </w:tcPr>
          <w:p w14:paraId="0C228C4F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246D7BE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1737388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3C7FF38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33.00%</w:t>
            </w:r>
          </w:p>
        </w:tc>
        <w:tc>
          <w:tcPr>
            <w:tcW w:w="627" w:type="dxa"/>
            <w:textDirection w:val="btLr"/>
            <w:vAlign w:val="center"/>
          </w:tcPr>
          <w:p w14:paraId="13AD3D4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40.35%</w:t>
            </w:r>
          </w:p>
        </w:tc>
        <w:tc>
          <w:tcPr>
            <w:tcW w:w="627" w:type="dxa"/>
            <w:textDirection w:val="btLr"/>
            <w:vAlign w:val="center"/>
          </w:tcPr>
          <w:p w14:paraId="7814CD7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21.77%</w:t>
            </w:r>
          </w:p>
        </w:tc>
        <w:tc>
          <w:tcPr>
            <w:tcW w:w="627" w:type="dxa"/>
            <w:textDirection w:val="btLr"/>
            <w:vAlign w:val="center"/>
          </w:tcPr>
          <w:p w14:paraId="511A638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4.88%</w:t>
            </w:r>
          </w:p>
        </w:tc>
        <w:tc>
          <w:tcPr>
            <w:tcW w:w="567" w:type="dxa"/>
            <w:textDirection w:val="btLr"/>
            <w:vAlign w:val="center"/>
          </w:tcPr>
          <w:p w14:paraId="7C693F6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63.97%</w:t>
            </w:r>
          </w:p>
        </w:tc>
        <w:tc>
          <w:tcPr>
            <w:tcW w:w="625" w:type="dxa"/>
            <w:textDirection w:val="btLr"/>
            <w:vAlign w:val="center"/>
          </w:tcPr>
          <w:p w14:paraId="6CB355C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41.60%</w:t>
            </w:r>
          </w:p>
        </w:tc>
        <w:tc>
          <w:tcPr>
            <w:tcW w:w="627" w:type="dxa"/>
            <w:textDirection w:val="btLr"/>
            <w:vAlign w:val="center"/>
          </w:tcPr>
          <w:p w14:paraId="36EF503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41.70%</w:t>
            </w:r>
          </w:p>
        </w:tc>
        <w:tc>
          <w:tcPr>
            <w:tcW w:w="627" w:type="dxa"/>
            <w:textDirection w:val="btLr"/>
            <w:vAlign w:val="center"/>
          </w:tcPr>
          <w:p w14:paraId="15E6525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16.70%</w:t>
            </w:r>
          </w:p>
        </w:tc>
        <w:tc>
          <w:tcPr>
            <w:tcW w:w="2251" w:type="dxa"/>
            <w:vMerge/>
          </w:tcPr>
          <w:p w14:paraId="3FF171BA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74812E39" w14:textId="77777777" w:rsidTr="00FD6D86">
        <w:trPr>
          <w:cantSplit/>
          <w:trHeight w:val="1135"/>
        </w:trPr>
        <w:tc>
          <w:tcPr>
            <w:tcW w:w="417" w:type="dxa"/>
            <w:vMerge w:val="restart"/>
            <w:vAlign w:val="center"/>
          </w:tcPr>
          <w:p w14:paraId="48793A86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6DC6FD3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Amir Bahador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05ED45A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3000</w:t>
            </w:r>
          </w:p>
        </w:tc>
        <w:tc>
          <w:tcPr>
            <w:tcW w:w="627" w:type="dxa"/>
            <w:textDirection w:val="btLr"/>
            <w:vAlign w:val="center"/>
          </w:tcPr>
          <w:p w14:paraId="7A96F34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1150.20</w:t>
            </w:r>
          </w:p>
        </w:tc>
        <w:tc>
          <w:tcPr>
            <w:tcW w:w="627" w:type="dxa"/>
            <w:textDirection w:val="btLr"/>
            <w:vAlign w:val="center"/>
          </w:tcPr>
          <w:p w14:paraId="0BFF1D0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1543.05</w:t>
            </w:r>
          </w:p>
        </w:tc>
        <w:tc>
          <w:tcPr>
            <w:tcW w:w="627" w:type="dxa"/>
            <w:textDirection w:val="btLr"/>
            <w:vAlign w:val="center"/>
          </w:tcPr>
          <w:p w14:paraId="55090DF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245.10</w:t>
            </w:r>
          </w:p>
        </w:tc>
        <w:tc>
          <w:tcPr>
            <w:tcW w:w="627" w:type="dxa"/>
            <w:textDirection w:val="btLr"/>
            <w:vAlign w:val="center"/>
          </w:tcPr>
          <w:p w14:paraId="5769FC6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61.65</w:t>
            </w:r>
          </w:p>
        </w:tc>
        <w:tc>
          <w:tcPr>
            <w:tcW w:w="567" w:type="dxa"/>
            <w:textDirection w:val="btLr"/>
            <w:vAlign w:val="center"/>
          </w:tcPr>
          <w:p w14:paraId="1804A0F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2053.08</w:t>
            </w:r>
          </w:p>
        </w:tc>
        <w:tc>
          <w:tcPr>
            <w:tcW w:w="625" w:type="dxa"/>
            <w:textDirection w:val="btLr"/>
            <w:vAlign w:val="center"/>
          </w:tcPr>
          <w:p w14:paraId="049FB0E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1033.82</w:t>
            </w:r>
          </w:p>
        </w:tc>
        <w:tc>
          <w:tcPr>
            <w:tcW w:w="627" w:type="dxa"/>
            <w:textDirection w:val="btLr"/>
            <w:vAlign w:val="center"/>
          </w:tcPr>
          <w:p w14:paraId="7D53000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694.65</w:t>
            </w:r>
          </w:p>
        </w:tc>
        <w:tc>
          <w:tcPr>
            <w:tcW w:w="627" w:type="dxa"/>
            <w:textDirection w:val="btLr"/>
            <w:vAlign w:val="center"/>
          </w:tcPr>
          <w:p w14:paraId="7434485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323.61</w:t>
            </w:r>
          </w:p>
        </w:tc>
        <w:tc>
          <w:tcPr>
            <w:tcW w:w="2251" w:type="dxa"/>
            <w:vMerge w:val="restart"/>
          </w:tcPr>
          <w:p w14:paraId="14C8C02D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59DC5D1" wp14:editId="40BAC71B">
                  <wp:extent cx="1170305" cy="609600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8752B1A" wp14:editId="22036B8C">
                  <wp:extent cx="1200785" cy="560705"/>
                  <wp:effectExtent l="0" t="0" r="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785" cy="560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2F9C96AA" w14:textId="77777777" w:rsidTr="00FD6D86">
        <w:trPr>
          <w:cantSplit/>
          <w:trHeight w:val="1125"/>
        </w:trPr>
        <w:tc>
          <w:tcPr>
            <w:tcW w:w="417" w:type="dxa"/>
            <w:vMerge/>
            <w:vAlign w:val="center"/>
          </w:tcPr>
          <w:p w14:paraId="1AD74389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4F4697F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623FC2B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431E530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38.35%</w:t>
            </w:r>
          </w:p>
        </w:tc>
        <w:tc>
          <w:tcPr>
            <w:tcW w:w="627" w:type="dxa"/>
            <w:textDirection w:val="btLr"/>
            <w:vAlign w:val="center"/>
          </w:tcPr>
          <w:p w14:paraId="7D641E3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51.43%</w:t>
            </w:r>
          </w:p>
        </w:tc>
        <w:tc>
          <w:tcPr>
            <w:tcW w:w="627" w:type="dxa"/>
            <w:textDirection w:val="btLr"/>
            <w:vAlign w:val="center"/>
          </w:tcPr>
          <w:p w14:paraId="04E8FD2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8.17%</w:t>
            </w:r>
          </w:p>
        </w:tc>
        <w:tc>
          <w:tcPr>
            <w:tcW w:w="627" w:type="dxa"/>
            <w:textDirection w:val="btLr"/>
            <w:vAlign w:val="center"/>
          </w:tcPr>
          <w:p w14:paraId="79457A4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2.05%</w:t>
            </w:r>
          </w:p>
        </w:tc>
        <w:tc>
          <w:tcPr>
            <w:tcW w:w="567" w:type="dxa"/>
            <w:textDirection w:val="btLr"/>
            <w:vAlign w:val="center"/>
          </w:tcPr>
          <w:p w14:paraId="79716C0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76.3%</w:t>
            </w:r>
          </w:p>
        </w:tc>
        <w:tc>
          <w:tcPr>
            <w:tcW w:w="625" w:type="dxa"/>
            <w:textDirection w:val="btLr"/>
            <w:vAlign w:val="center"/>
          </w:tcPr>
          <w:p w14:paraId="0F495DC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50.40%</w:t>
            </w:r>
          </w:p>
        </w:tc>
        <w:tc>
          <w:tcPr>
            <w:tcW w:w="627" w:type="dxa"/>
            <w:textDirection w:val="btLr"/>
            <w:vAlign w:val="center"/>
          </w:tcPr>
          <w:p w14:paraId="0C9F2EB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33.85%</w:t>
            </w:r>
          </w:p>
        </w:tc>
        <w:tc>
          <w:tcPr>
            <w:tcW w:w="627" w:type="dxa"/>
            <w:textDirection w:val="btLr"/>
            <w:vAlign w:val="center"/>
          </w:tcPr>
          <w:p w14:paraId="51CF649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15.75%</w:t>
            </w:r>
          </w:p>
        </w:tc>
        <w:tc>
          <w:tcPr>
            <w:tcW w:w="2251" w:type="dxa"/>
            <w:vMerge/>
          </w:tcPr>
          <w:p w14:paraId="1C52CD59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1B7E1499" w14:textId="77777777" w:rsidTr="00FD6D86">
        <w:trPr>
          <w:cantSplit/>
          <w:trHeight w:val="1160"/>
        </w:trPr>
        <w:tc>
          <w:tcPr>
            <w:tcW w:w="417" w:type="dxa"/>
            <w:vMerge w:val="restart"/>
            <w:vAlign w:val="center"/>
          </w:tcPr>
          <w:p w14:paraId="254CCE9A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0E9EB16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Mostowfi al-Mamalek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7909876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50000</w:t>
            </w:r>
          </w:p>
        </w:tc>
        <w:tc>
          <w:tcPr>
            <w:tcW w:w="627" w:type="dxa"/>
            <w:textDirection w:val="btLr"/>
            <w:vAlign w:val="center"/>
          </w:tcPr>
          <w:p w14:paraId="7D9B537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10770</w:t>
            </w:r>
          </w:p>
        </w:tc>
        <w:tc>
          <w:tcPr>
            <w:tcW w:w="627" w:type="dxa"/>
            <w:textDirection w:val="btLr"/>
            <w:vAlign w:val="center"/>
          </w:tcPr>
          <w:p w14:paraId="4ADE54D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28110</w:t>
            </w:r>
          </w:p>
        </w:tc>
        <w:tc>
          <w:tcPr>
            <w:tcW w:w="627" w:type="dxa"/>
            <w:textDirection w:val="btLr"/>
            <w:vAlign w:val="center"/>
          </w:tcPr>
          <w:p w14:paraId="4E69E77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8654</w:t>
            </w:r>
          </w:p>
        </w:tc>
        <w:tc>
          <w:tcPr>
            <w:tcW w:w="627" w:type="dxa"/>
            <w:textDirection w:val="btLr"/>
            <w:vAlign w:val="center"/>
          </w:tcPr>
          <w:p w14:paraId="4FE1A9E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2466</w:t>
            </w:r>
          </w:p>
        </w:tc>
        <w:tc>
          <w:tcPr>
            <w:tcW w:w="567" w:type="dxa"/>
            <w:textDirection w:val="btLr"/>
            <w:vAlign w:val="center"/>
          </w:tcPr>
          <w:p w14:paraId="1F3EFAE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22063.85</w:t>
            </w:r>
          </w:p>
        </w:tc>
        <w:tc>
          <w:tcPr>
            <w:tcW w:w="625" w:type="dxa"/>
            <w:textDirection w:val="btLr"/>
            <w:vAlign w:val="center"/>
          </w:tcPr>
          <w:p w14:paraId="4E2D15F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15148.63</w:t>
            </w:r>
          </w:p>
        </w:tc>
        <w:tc>
          <w:tcPr>
            <w:tcW w:w="627" w:type="dxa"/>
            <w:textDirection w:val="btLr"/>
            <w:vAlign w:val="center"/>
          </w:tcPr>
          <w:p w14:paraId="32AF68B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6446.53</w:t>
            </w:r>
          </w:p>
        </w:tc>
        <w:tc>
          <w:tcPr>
            <w:tcW w:w="627" w:type="dxa"/>
            <w:textDirection w:val="btLr"/>
            <w:vAlign w:val="center"/>
          </w:tcPr>
          <w:p w14:paraId="0E51D84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468.69</w:t>
            </w:r>
          </w:p>
        </w:tc>
        <w:tc>
          <w:tcPr>
            <w:tcW w:w="2251" w:type="dxa"/>
            <w:vMerge w:val="restart"/>
          </w:tcPr>
          <w:p w14:paraId="74E1F4ED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841B14C" wp14:editId="0B3BAFD7">
                  <wp:extent cx="1115695" cy="640080"/>
                  <wp:effectExtent l="0" t="0" r="8255" b="762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5695" cy="6400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BD58F12" wp14:editId="1ADE4F5A">
                  <wp:extent cx="1134110" cy="664210"/>
                  <wp:effectExtent l="0" t="0" r="8890" b="254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110" cy="664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08580288" w14:textId="77777777" w:rsidTr="00FD6D86">
        <w:trPr>
          <w:cantSplit/>
          <w:trHeight w:val="1185"/>
        </w:trPr>
        <w:tc>
          <w:tcPr>
            <w:tcW w:w="417" w:type="dxa"/>
            <w:vMerge/>
            <w:vAlign w:val="center"/>
          </w:tcPr>
          <w:p w14:paraId="4EE8E5A8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57BF411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5F30C7C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6D6CEE8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21.55%</w:t>
            </w:r>
          </w:p>
        </w:tc>
        <w:tc>
          <w:tcPr>
            <w:tcW w:w="627" w:type="dxa"/>
            <w:textDirection w:val="btLr"/>
            <w:vAlign w:val="center"/>
          </w:tcPr>
          <w:p w14:paraId="070713E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56.22%</w:t>
            </w:r>
          </w:p>
        </w:tc>
        <w:tc>
          <w:tcPr>
            <w:tcW w:w="627" w:type="dxa"/>
            <w:textDirection w:val="btLr"/>
            <w:vAlign w:val="center"/>
          </w:tcPr>
          <w:p w14:paraId="35931F3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17.30%</w:t>
            </w:r>
          </w:p>
        </w:tc>
        <w:tc>
          <w:tcPr>
            <w:tcW w:w="627" w:type="dxa"/>
            <w:textDirection w:val="btLr"/>
            <w:vAlign w:val="center"/>
          </w:tcPr>
          <w:p w14:paraId="682177D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4.93%</w:t>
            </w:r>
          </w:p>
        </w:tc>
        <w:tc>
          <w:tcPr>
            <w:tcW w:w="567" w:type="dxa"/>
            <w:textDirection w:val="btLr"/>
            <w:vAlign w:val="center"/>
          </w:tcPr>
          <w:p w14:paraId="66FE69E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44.12%</w:t>
            </w:r>
          </w:p>
        </w:tc>
        <w:tc>
          <w:tcPr>
            <w:tcW w:w="625" w:type="dxa"/>
            <w:textDirection w:val="btLr"/>
            <w:vAlign w:val="center"/>
          </w:tcPr>
          <w:p w14:paraId="4931F97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68.65%</w:t>
            </w:r>
          </w:p>
        </w:tc>
        <w:tc>
          <w:tcPr>
            <w:tcW w:w="627" w:type="dxa"/>
            <w:textDirection w:val="btLr"/>
            <w:vAlign w:val="center"/>
          </w:tcPr>
          <w:p w14:paraId="1D3B502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29.20%</w:t>
            </w:r>
          </w:p>
        </w:tc>
        <w:tc>
          <w:tcPr>
            <w:tcW w:w="627" w:type="dxa"/>
            <w:textDirection w:val="btLr"/>
            <w:vAlign w:val="center"/>
          </w:tcPr>
          <w:p w14:paraId="077F85F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2.15%</w:t>
            </w:r>
          </w:p>
        </w:tc>
        <w:tc>
          <w:tcPr>
            <w:tcW w:w="2251" w:type="dxa"/>
            <w:vMerge/>
          </w:tcPr>
          <w:p w14:paraId="42426636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5A57F5B8" w14:textId="77777777" w:rsidTr="00FD6D86">
        <w:trPr>
          <w:cantSplit/>
          <w:trHeight w:val="2022"/>
        </w:trPr>
        <w:tc>
          <w:tcPr>
            <w:tcW w:w="417" w:type="dxa"/>
            <w:vMerge w:val="restart"/>
            <w:vAlign w:val="center"/>
          </w:tcPr>
          <w:p w14:paraId="3365D7E0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6517764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Qawam Al-Saltanah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5020793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1040</w:t>
            </w:r>
          </w:p>
        </w:tc>
        <w:tc>
          <w:tcPr>
            <w:tcW w:w="627" w:type="dxa"/>
            <w:textDirection w:val="btLr"/>
            <w:vAlign w:val="center"/>
          </w:tcPr>
          <w:p w14:paraId="08D66E5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134.72</w:t>
            </w:r>
          </w:p>
        </w:tc>
        <w:tc>
          <w:tcPr>
            <w:tcW w:w="627" w:type="dxa"/>
            <w:textDirection w:val="btLr"/>
            <w:vAlign w:val="center"/>
          </w:tcPr>
          <w:p w14:paraId="2554177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360.08</w:t>
            </w:r>
          </w:p>
        </w:tc>
        <w:tc>
          <w:tcPr>
            <w:tcW w:w="627" w:type="dxa"/>
            <w:textDirection w:val="btLr"/>
            <w:vAlign w:val="center"/>
          </w:tcPr>
          <w:p w14:paraId="2615D10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500</w:t>
            </w:r>
          </w:p>
        </w:tc>
        <w:tc>
          <w:tcPr>
            <w:tcW w:w="627" w:type="dxa"/>
            <w:textDirection w:val="btLr"/>
            <w:vAlign w:val="center"/>
          </w:tcPr>
          <w:p w14:paraId="2DFFEED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45.20</w:t>
            </w:r>
          </w:p>
        </w:tc>
        <w:tc>
          <w:tcPr>
            <w:tcW w:w="567" w:type="dxa"/>
            <w:textDirection w:val="btLr"/>
            <w:vAlign w:val="center"/>
          </w:tcPr>
          <w:p w14:paraId="4E7AF2B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250.62</w:t>
            </w:r>
          </w:p>
        </w:tc>
        <w:tc>
          <w:tcPr>
            <w:tcW w:w="625" w:type="dxa"/>
            <w:textDirection w:val="btLr"/>
            <w:vAlign w:val="center"/>
          </w:tcPr>
          <w:p w14:paraId="5DBE484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141.60</w:t>
            </w:r>
          </w:p>
        </w:tc>
        <w:tc>
          <w:tcPr>
            <w:tcW w:w="627" w:type="dxa"/>
            <w:textDirection w:val="btLr"/>
            <w:vAlign w:val="center"/>
          </w:tcPr>
          <w:p w14:paraId="67E8621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65.40</w:t>
            </w:r>
          </w:p>
        </w:tc>
        <w:tc>
          <w:tcPr>
            <w:tcW w:w="627" w:type="dxa"/>
            <w:textDirection w:val="btLr"/>
            <w:vAlign w:val="center"/>
          </w:tcPr>
          <w:p w14:paraId="5907644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43.62</w:t>
            </w:r>
          </w:p>
        </w:tc>
        <w:tc>
          <w:tcPr>
            <w:tcW w:w="2251" w:type="dxa"/>
            <w:vMerge w:val="restart"/>
            <w:vAlign w:val="center"/>
          </w:tcPr>
          <w:p w14:paraId="0B9E7E17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D96F0CE" wp14:editId="02A1091F">
                  <wp:extent cx="1170305" cy="694690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6E7AE85" wp14:editId="311F105E">
                  <wp:extent cx="693954" cy="687070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6908" cy="689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0FC3ADDC" wp14:editId="60F17DE1">
                  <wp:extent cx="697602" cy="723900"/>
                  <wp:effectExtent l="0" t="0" r="7620" b="0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8139" cy="72445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2623BB22" w14:textId="77777777" w:rsidTr="00FD6D86">
        <w:trPr>
          <w:cantSplit/>
          <w:trHeight w:val="1555"/>
        </w:trPr>
        <w:tc>
          <w:tcPr>
            <w:tcW w:w="417" w:type="dxa"/>
            <w:vMerge/>
            <w:vAlign w:val="center"/>
          </w:tcPr>
          <w:p w14:paraId="7B7A8AFA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273291A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5A0B999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0A10772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12.95%</w:t>
            </w:r>
          </w:p>
        </w:tc>
        <w:tc>
          <w:tcPr>
            <w:tcW w:w="627" w:type="dxa"/>
            <w:textDirection w:val="btLr"/>
            <w:vAlign w:val="center"/>
          </w:tcPr>
          <w:p w14:paraId="34B89EB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34.62%</w:t>
            </w:r>
          </w:p>
        </w:tc>
        <w:tc>
          <w:tcPr>
            <w:tcW w:w="627" w:type="dxa"/>
            <w:textDirection w:val="btLr"/>
            <w:vAlign w:val="center"/>
          </w:tcPr>
          <w:p w14:paraId="29AE84A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48.08%</w:t>
            </w:r>
          </w:p>
        </w:tc>
        <w:tc>
          <w:tcPr>
            <w:tcW w:w="627" w:type="dxa"/>
            <w:textDirection w:val="btLr"/>
            <w:vAlign w:val="center"/>
          </w:tcPr>
          <w:p w14:paraId="2723421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4.35%</w:t>
            </w:r>
          </w:p>
        </w:tc>
        <w:tc>
          <w:tcPr>
            <w:tcW w:w="567" w:type="dxa"/>
            <w:textDirection w:val="btLr"/>
            <w:vAlign w:val="center"/>
          </w:tcPr>
          <w:p w14:paraId="0EAB8D9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497.65%</w:t>
            </w:r>
          </w:p>
        </w:tc>
        <w:tc>
          <w:tcPr>
            <w:tcW w:w="625" w:type="dxa"/>
            <w:textDirection w:val="btLr"/>
            <w:vAlign w:val="center"/>
          </w:tcPr>
          <w:p w14:paraId="6664229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56.50%</w:t>
            </w:r>
          </w:p>
        </w:tc>
        <w:tc>
          <w:tcPr>
            <w:tcW w:w="627" w:type="dxa"/>
            <w:textDirection w:val="btLr"/>
            <w:vAlign w:val="center"/>
          </w:tcPr>
          <w:p w14:paraId="2A8FC5E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26.10%</w:t>
            </w:r>
          </w:p>
        </w:tc>
        <w:tc>
          <w:tcPr>
            <w:tcW w:w="627" w:type="dxa"/>
            <w:textDirection w:val="btLr"/>
            <w:vAlign w:val="center"/>
          </w:tcPr>
          <w:p w14:paraId="68A93BD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17.40%</w:t>
            </w:r>
          </w:p>
        </w:tc>
        <w:tc>
          <w:tcPr>
            <w:tcW w:w="2251" w:type="dxa"/>
            <w:vMerge/>
          </w:tcPr>
          <w:p w14:paraId="3F687A2C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09658409" w14:textId="77777777" w:rsidTr="00FD6D86">
        <w:trPr>
          <w:cantSplit/>
          <w:trHeight w:val="1610"/>
        </w:trPr>
        <w:tc>
          <w:tcPr>
            <w:tcW w:w="417" w:type="dxa"/>
            <w:vMerge w:val="restart"/>
            <w:vAlign w:val="center"/>
          </w:tcPr>
          <w:p w14:paraId="43CED653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7101193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Mushir al-Dawlah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52318F3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1882</w:t>
            </w:r>
          </w:p>
        </w:tc>
        <w:tc>
          <w:tcPr>
            <w:tcW w:w="627" w:type="dxa"/>
            <w:textDirection w:val="btLr"/>
            <w:vAlign w:val="center"/>
          </w:tcPr>
          <w:p w14:paraId="524F7C2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325.30</w:t>
            </w:r>
          </w:p>
        </w:tc>
        <w:tc>
          <w:tcPr>
            <w:tcW w:w="627" w:type="dxa"/>
            <w:textDirection w:val="btLr"/>
            <w:vAlign w:val="center"/>
          </w:tcPr>
          <w:p w14:paraId="4E5AE23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1320.10</w:t>
            </w:r>
          </w:p>
        </w:tc>
        <w:tc>
          <w:tcPr>
            <w:tcW w:w="627" w:type="dxa"/>
            <w:textDirection w:val="btLr"/>
            <w:vAlign w:val="center"/>
          </w:tcPr>
          <w:p w14:paraId="0FA485F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223.10</w:t>
            </w:r>
          </w:p>
        </w:tc>
        <w:tc>
          <w:tcPr>
            <w:tcW w:w="627" w:type="dxa"/>
            <w:textDirection w:val="btLr"/>
            <w:vAlign w:val="center"/>
          </w:tcPr>
          <w:p w14:paraId="35B2FFA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13.50</w:t>
            </w:r>
          </w:p>
        </w:tc>
        <w:tc>
          <w:tcPr>
            <w:tcW w:w="567" w:type="dxa"/>
            <w:textDirection w:val="btLr"/>
            <w:vAlign w:val="center"/>
          </w:tcPr>
          <w:p w14:paraId="2F05D39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947.50</w:t>
            </w:r>
          </w:p>
        </w:tc>
        <w:tc>
          <w:tcPr>
            <w:tcW w:w="625" w:type="dxa"/>
            <w:textDirection w:val="btLr"/>
            <w:vAlign w:val="center"/>
          </w:tcPr>
          <w:p w14:paraId="0D92938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520.30</w:t>
            </w:r>
          </w:p>
        </w:tc>
        <w:tc>
          <w:tcPr>
            <w:tcW w:w="627" w:type="dxa"/>
            <w:textDirection w:val="btLr"/>
            <w:vAlign w:val="center"/>
          </w:tcPr>
          <w:p w14:paraId="4B3390A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270.40</w:t>
            </w:r>
          </w:p>
        </w:tc>
        <w:tc>
          <w:tcPr>
            <w:tcW w:w="627" w:type="dxa"/>
            <w:textDirection w:val="btLr"/>
            <w:vAlign w:val="center"/>
          </w:tcPr>
          <w:p w14:paraId="1441C10C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156.80</w:t>
            </w:r>
          </w:p>
        </w:tc>
        <w:tc>
          <w:tcPr>
            <w:tcW w:w="2251" w:type="dxa"/>
            <w:vMerge w:val="restart"/>
          </w:tcPr>
          <w:p w14:paraId="3997A36E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2B76F9FB" wp14:editId="0E60D27A">
                  <wp:extent cx="1371600" cy="676910"/>
                  <wp:effectExtent l="0" t="0" r="0" b="889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1600" cy="676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33773FF4" wp14:editId="00DD3EDF">
                  <wp:extent cx="963295" cy="633730"/>
                  <wp:effectExtent l="0" t="0" r="8255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3295" cy="6337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42C1B293" wp14:editId="1BEC88C6">
                  <wp:extent cx="768350" cy="59118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591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67821507" w14:textId="77777777" w:rsidTr="00FD6D86">
        <w:trPr>
          <w:cantSplit/>
          <w:trHeight w:val="1726"/>
        </w:trPr>
        <w:tc>
          <w:tcPr>
            <w:tcW w:w="417" w:type="dxa"/>
            <w:vMerge/>
            <w:vAlign w:val="center"/>
          </w:tcPr>
          <w:p w14:paraId="16871547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57480D9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023F7BE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58804EE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17.30%</w:t>
            </w:r>
          </w:p>
        </w:tc>
        <w:tc>
          <w:tcPr>
            <w:tcW w:w="627" w:type="dxa"/>
            <w:textDirection w:val="btLr"/>
            <w:vAlign w:val="center"/>
          </w:tcPr>
          <w:p w14:paraId="4D5F46B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70.15%</w:t>
            </w:r>
          </w:p>
        </w:tc>
        <w:tc>
          <w:tcPr>
            <w:tcW w:w="627" w:type="dxa"/>
            <w:textDirection w:val="btLr"/>
            <w:vAlign w:val="center"/>
          </w:tcPr>
          <w:p w14:paraId="5B299D3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11.85%</w:t>
            </w:r>
          </w:p>
        </w:tc>
        <w:tc>
          <w:tcPr>
            <w:tcW w:w="627" w:type="dxa"/>
            <w:textDirection w:val="btLr"/>
            <w:vAlign w:val="center"/>
          </w:tcPr>
          <w:p w14:paraId="66806D8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0.70%</w:t>
            </w:r>
          </w:p>
        </w:tc>
        <w:tc>
          <w:tcPr>
            <w:tcW w:w="567" w:type="dxa"/>
            <w:textDirection w:val="btLr"/>
            <w:vAlign w:val="center"/>
          </w:tcPr>
          <w:p w14:paraId="67F63F7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2747.9%</w:t>
            </w:r>
          </w:p>
        </w:tc>
        <w:tc>
          <w:tcPr>
            <w:tcW w:w="625" w:type="dxa"/>
            <w:textDirection w:val="btLr"/>
            <w:vAlign w:val="center"/>
          </w:tcPr>
          <w:p w14:paraId="6CEC876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54.90%</w:t>
            </w:r>
          </w:p>
        </w:tc>
        <w:tc>
          <w:tcPr>
            <w:tcW w:w="627" w:type="dxa"/>
            <w:textDirection w:val="btLr"/>
            <w:vAlign w:val="center"/>
          </w:tcPr>
          <w:p w14:paraId="49133A7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28.55%</w:t>
            </w:r>
          </w:p>
        </w:tc>
        <w:tc>
          <w:tcPr>
            <w:tcW w:w="627" w:type="dxa"/>
            <w:textDirection w:val="btLr"/>
            <w:vAlign w:val="center"/>
          </w:tcPr>
          <w:p w14:paraId="01B7663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16.55%</w:t>
            </w:r>
          </w:p>
        </w:tc>
        <w:tc>
          <w:tcPr>
            <w:tcW w:w="2251" w:type="dxa"/>
            <w:vMerge/>
          </w:tcPr>
          <w:p w14:paraId="73D9042D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2D873C4F" w14:textId="77777777" w:rsidTr="00FD6D86">
        <w:trPr>
          <w:cantSplit/>
          <w:trHeight w:val="1451"/>
        </w:trPr>
        <w:tc>
          <w:tcPr>
            <w:tcW w:w="417" w:type="dxa"/>
            <w:vMerge w:val="restart"/>
            <w:vAlign w:val="center"/>
          </w:tcPr>
          <w:p w14:paraId="046DA6DB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7DA6D5F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Moghaddam House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046AECE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2117</w:t>
            </w:r>
          </w:p>
        </w:tc>
        <w:tc>
          <w:tcPr>
            <w:tcW w:w="627" w:type="dxa"/>
            <w:textDirection w:val="btLr"/>
            <w:vAlign w:val="center"/>
          </w:tcPr>
          <w:p w14:paraId="150F05C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1095.40</w:t>
            </w:r>
          </w:p>
        </w:tc>
        <w:tc>
          <w:tcPr>
            <w:tcW w:w="627" w:type="dxa"/>
            <w:textDirection w:val="btLr"/>
            <w:vAlign w:val="center"/>
          </w:tcPr>
          <w:p w14:paraId="7C5C7A8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900.80</w:t>
            </w:r>
          </w:p>
        </w:tc>
        <w:tc>
          <w:tcPr>
            <w:tcW w:w="627" w:type="dxa"/>
            <w:textDirection w:val="btLr"/>
            <w:vAlign w:val="center"/>
          </w:tcPr>
          <w:p w14:paraId="02D6715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100.70</w:t>
            </w:r>
          </w:p>
        </w:tc>
        <w:tc>
          <w:tcPr>
            <w:tcW w:w="627" w:type="dxa"/>
            <w:textDirection w:val="btLr"/>
            <w:vAlign w:val="center"/>
          </w:tcPr>
          <w:p w14:paraId="77C671F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20.10</w:t>
            </w:r>
          </w:p>
        </w:tc>
        <w:tc>
          <w:tcPr>
            <w:tcW w:w="567" w:type="dxa"/>
            <w:textDirection w:val="btLr"/>
            <w:vAlign w:val="center"/>
          </w:tcPr>
          <w:p w14:paraId="130EF16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1095.40</w:t>
            </w:r>
          </w:p>
        </w:tc>
        <w:tc>
          <w:tcPr>
            <w:tcW w:w="625" w:type="dxa"/>
            <w:textDirection w:val="btLr"/>
            <w:vAlign w:val="center"/>
          </w:tcPr>
          <w:p w14:paraId="3F4F600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560.80</w:t>
            </w:r>
          </w:p>
        </w:tc>
        <w:tc>
          <w:tcPr>
            <w:tcW w:w="627" w:type="dxa"/>
            <w:textDirection w:val="btLr"/>
            <w:vAlign w:val="center"/>
          </w:tcPr>
          <w:p w14:paraId="63237FB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350.60</w:t>
            </w:r>
          </w:p>
        </w:tc>
        <w:tc>
          <w:tcPr>
            <w:tcW w:w="627" w:type="dxa"/>
            <w:textDirection w:val="btLr"/>
            <w:vAlign w:val="center"/>
          </w:tcPr>
          <w:p w14:paraId="63E7C93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184</w:t>
            </w:r>
          </w:p>
        </w:tc>
        <w:tc>
          <w:tcPr>
            <w:tcW w:w="2251" w:type="dxa"/>
            <w:vMerge w:val="restart"/>
            <w:vAlign w:val="center"/>
          </w:tcPr>
          <w:p w14:paraId="4E1F9AEC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cs="B Nazanin"/>
                <w:noProof/>
                <w:sz w:val="28"/>
                <w:szCs w:val="28"/>
                <w:rtl/>
              </w:rPr>
              <w:drawing>
                <wp:inline distT="0" distB="0" distL="0" distR="0" wp14:anchorId="5C47CAED" wp14:editId="4940CC60">
                  <wp:extent cx="1102458" cy="1102458"/>
                  <wp:effectExtent l="0" t="0" r="2540" b="2540"/>
                  <wp:docPr id="2" name="Picture 2" descr="C:\Users\win.ashraf\Desktop\مقاله پویش و سکون\خانه مقدم 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win.ashraf\Desktop\مقاله پویش و سکون\خانه مقدم 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33" cy="11080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276A4EF8" w14:textId="77777777" w:rsidTr="00FD6D86">
        <w:trPr>
          <w:cantSplit/>
          <w:trHeight w:val="1267"/>
        </w:trPr>
        <w:tc>
          <w:tcPr>
            <w:tcW w:w="417" w:type="dxa"/>
            <w:vMerge/>
            <w:vAlign w:val="center"/>
          </w:tcPr>
          <w:p w14:paraId="38215DBE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731620F4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32FB362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6A59B71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51.75%</w:t>
            </w:r>
          </w:p>
        </w:tc>
        <w:tc>
          <w:tcPr>
            <w:tcW w:w="627" w:type="dxa"/>
            <w:textDirection w:val="btLr"/>
            <w:vAlign w:val="center"/>
          </w:tcPr>
          <w:p w14:paraId="0ED27C7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42.55%</w:t>
            </w:r>
          </w:p>
        </w:tc>
        <w:tc>
          <w:tcPr>
            <w:tcW w:w="627" w:type="dxa"/>
            <w:textDirection w:val="btLr"/>
            <w:vAlign w:val="center"/>
          </w:tcPr>
          <w:p w14:paraId="3BFD01F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4.75%</w:t>
            </w:r>
          </w:p>
        </w:tc>
        <w:tc>
          <w:tcPr>
            <w:tcW w:w="627" w:type="dxa"/>
            <w:textDirection w:val="btLr"/>
            <w:vAlign w:val="center"/>
          </w:tcPr>
          <w:p w14:paraId="744272A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0.95%</w:t>
            </w:r>
          </w:p>
        </w:tc>
        <w:tc>
          <w:tcPr>
            <w:tcW w:w="567" w:type="dxa"/>
            <w:textDirection w:val="btLr"/>
            <w:vAlign w:val="center"/>
          </w:tcPr>
          <w:p w14:paraId="34350A12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51.75%</w:t>
            </w:r>
          </w:p>
        </w:tc>
        <w:tc>
          <w:tcPr>
            <w:tcW w:w="625" w:type="dxa"/>
            <w:textDirection w:val="btLr"/>
            <w:vAlign w:val="center"/>
          </w:tcPr>
          <w:p w14:paraId="71D01E31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51.20%</w:t>
            </w:r>
          </w:p>
        </w:tc>
        <w:tc>
          <w:tcPr>
            <w:tcW w:w="627" w:type="dxa"/>
            <w:textDirection w:val="btLr"/>
            <w:vAlign w:val="center"/>
          </w:tcPr>
          <w:p w14:paraId="58232CD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32.00%</w:t>
            </w:r>
          </w:p>
        </w:tc>
        <w:tc>
          <w:tcPr>
            <w:tcW w:w="627" w:type="dxa"/>
            <w:textDirection w:val="btLr"/>
            <w:vAlign w:val="center"/>
          </w:tcPr>
          <w:p w14:paraId="587C3BC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16.80%</w:t>
            </w:r>
          </w:p>
        </w:tc>
        <w:tc>
          <w:tcPr>
            <w:tcW w:w="2251" w:type="dxa"/>
            <w:vMerge/>
          </w:tcPr>
          <w:p w14:paraId="310EFF71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4CF11415" w14:textId="77777777" w:rsidTr="00FD6D86">
        <w:trPr>
          <w:cantSplit/>
          <w:trHeight w:val="1975"/>
        </w:trPr>
        <w:tc>
          <w:tcPr>
            <w:tcW w:w="417" w:type="dxa"/>
            <w:vMerge w:val="restart"/>
            <w:vAlign w:val="center"/>
          </w:tcPr>
          <w:p w14:paraId="34644D6C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41" w:type="dxa"/>
            <w:vMerge w:val="restart"/>
            <w:textDirection w:val="btLr"/>
            <w:vAlign w:val="center"/>
          </w:tcPr>
          <w:p w14:paraId="06FAED1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Vesal House </w:t>
            </w:r>
          </w:p>
        </w:tc>
        <w:tc>
          <w:tcPr>
            <w:tcW w:w="627" w:type="dxa"/>
            <w:vMerge w:val="restart"/>
            <w:textDirection w:val="btLr"/>
            <w:vAlign w:val="center"/>
          </w:tcPr>
          <w:p w14:paraId="636688C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2300</w:t>
            </w:r>
          </w:p>
        </w:tc>
        <w:tc>
          <w:tcPr>
            <w:tcW w:w="627" w:type="dxa"/>
            <w:textDirection w:val="btLr"/>
            <w:vAlign w:val="center"/>
          </w:tcPr>
          <w:p w14:paraId="6F9A636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275.40</w:t>
            </w:r>
          </w:p>
        </w:tc>
        <w:tc>
          <w:tcPr>
            <w:tcW w:w="627" w:type="dxa"/>
            <w:textDirection w:val="btLr"/>
            <w:vAlign w:val="center"/>
          </w:tcPr>
          <w:p w14:paraId="10E46533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1134.40</w:t>
            </w:r>
          </w:p>
        </w:tc>
        <w:tc>
          <w:tcPr>
            <w:tcW w:w="627" w:type="dxa"/>
            <w:textDirection w:val="btLr"/>
            <w:vAlign w:val="center"/>
          </w:tcPr>
          <w:p w14:paraId="250B15E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870.20</w:t>
            </w:r>
          </w:p>
        </w:tc>
        <w:tc>
          <w:tcPr>
            <w:tcW w:w="627" w:type="dxa"/>
            <w:textDirection w:val="btLr"/>
            <w:vAlign w:val="center"/>
          </w:tcPr>
          <w:p w14:paraId="3553A6C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</w:t>
            </w:r>
          </w:p>
        </w:tc>
        <w:tc>
          <w:tcPr>
            <w:tcW w:w="567" w:type="dxa"/>
            <w:textDirection w:val="btLr"/>
            <w:vAlign w:val="center"/>
          </w:tcPr>
          <w:p w14:paraId="653280D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480.80</w:t>
            </w:r>
          </w:p>
        </w:tc>
        <w:tc>
          <w:tcPr>
            <w:tcW w:w="625" w:type="dxa"/>
            <w:textDirection w:val="btLr"/>
            <w:vAlign w:val="center"/>
          </w:tcPr>
          <w:p w14:paraId="5D86137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270.90</w:t>
            </w:r>
          </w:p>
        </w:tc>
        <w:tc>
          <w:tcPr>
            <w:tcW w:w="627" w:type="dxa"/>
            <w:textDirection w:val="btLr"/>
            <w:vAlign w:val="center"/>
          </w:tcPr>
          <w:p w14:paraId="7BA6C2F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125.95</w:t>
            </w:r>
          </w:p>
        </w:tc>
        <w:tc>
          <w:tcPr>
            <w:tcW w:w="627" w:type="dxa"/>
            <w:textDirection w:val="btLr"/>
            <w:vAlign w:val="center"/>
          </w:tcPr>
          <w:p w14:paraId="4792FAD7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83.95</w:t>
            </w:r>
          </w:p>
        </w:tc>
        <w:tc>
          <w:tcPr>
            <w:tcW w:w="2251" w:type="dxa"/>
            <w:vMerge w:val="restart"/>
            <w:vAlign w:val="center"/>
          </w:tcPr>
          <w:p w14:paraId="6CADD40F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55ED5664" wp14:editId="0D181A2A">
                  <wp:extent cx="859790" cy="89598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9790" cy="8959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3AD2800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70B07CF2" wp14:editId="3DB638E4">
                  <wp:extent cx="1061085" cy="652145"/>
                  <wp:effectExtent l="0" t="0" r="571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1085" cy="652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04E47F37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noProof/>
                <w:sz w:val="20"/>
                <w:szCs w:val="20"/>
              </w:rPr>
              <w:drawing>
                <wp:inline distT="0" distB="0" distL="0" distR="0" wp14:anchorId="12B148BD" wp14:editId="36404032">
                  <wp:extent cx="1073150" cy="694690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6946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414F6" w:rsidRPr="007F3343" w14:paraId="3F89F110" w14:textId="77777777" w:rsidTr="00FD6D86">
        <w:trPr>
          <w:cantSplit/>
          <w:trHeight w:val="1678"/>
        </w:trPr>
        <w:tc>
          <w:tcPr>
            <w:tcW w:w="417" w:type="dxa"/>
            <w:vMerge/>
            <w:vAlign w:val="center"/>
          </w:tcPr>
          <w:p w14:paraId="579C3ED2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741" w:type="dxa"/>
            <w:vMerge/>
            <w:textDirection w:val="btLr"/>
            <w:vAlign w:val="center"/>
          </w:tcPr>
          <w:p w14:paraId="2022EC49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  <w:tc>
          <w:tcPr>
            <w:tcW w:w="627" w:type="dxa"/>
            <w:vMerge/>
            <w:textDirection w:val="btLr"/>
            <w:vAlign w:val="center"/>
          </w:tcPr>
          <w:p w14:paraId="76CF78DE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27" w:type="dxa"/>
            <w:textDirection w:val="btLr"/>
            <w:vAlign w:val="center"/>
          </w:tcPr>
          <w:p w14:paraId="105CE06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12.00%</w:t>
            </w:r>
          </w:p>
        </w:tc>
        <w:tc>
          <w:tcPr>
            <w:tcW w:w="627" w:type="dxa"/>
            <w:textDirection w:val="btLr"/>
            <w:vAlign w:val="center"/>
          </w:tcPr>
          <w:p w14:paraId="561882F0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49.30%</w:t>
            </w:r>
          </w:p>
        </w:tc>
        <w:tc>
          <w:tcPr>
            <w:tcW w:w="627" w:type="dxa"/>
            <w:textDirection w:val="btLr"/>
            <w:vAlign w:val="center"/>
          </w:tcPr>
          <w:p w14:paraId="056416A5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37.83%</w:t>
            </w:r>
          </w:p>
        </w:tc>
        <w:tc>
          <w:tcPr>
            <w:tcW w:w="627" w:type="dxa"/>
            <w:textDirection w:val="btLr"/>
            <w:vAlign w:val="center"/>
          </w:tcPr>
          <w:p w14:paraId="6BC5692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0.87%</w:t>
            </w:r>
          </w:p>
        </w:tc>
        <w:tc>
          <w:tcPr>
            <w:tcW w:w="567" w:type="dxa"/>
            <w:textDirection w:val="btLr"/>
            <w:vAlign w:val="center"/>
          </w:tcPr>
          <w:p w14:paraId="0F607D6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20.90%</w:t>
            </w:r>
          </w:p>
        </w:tc>
        <w:tc>
          <w:tcPr>
            <w:tcW w:w="625" w:type="dxa"/>
            <w:textDirection w:val="btLr"/>
            <w:vAlign w:val="center"/>
          </w:tcPr>
          <w:p w14:paraId="03B87A2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56.35%</w:t>
            </w:r>
          </w:p>
        </w:tc>
        <w:tc>
          <w:tcPr>
            <w:tcW w:w="627" w:type="dxa"/>
            <w:textDirection w:val="btLr"/>
            <w:vAlign w:val="center"/>
          </w:tcPr>
          <w:p w14:paraId="5733869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26.20%</w:t>
            </w:r>
          </w:p>
        </w:tc>
        <w:tc>
          <w:tcPr>
            <w:tcW w:w="627" w:type="dxa"/>
            <w:textDirection w:val="btLr"/>
            <w:vAlign w:val="center"/>
          </w:tcPr>
          <w:p w14:paraId="6EBFD0F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17.45%</w:t>
            </w:r>
          </w:p>
        </w:tc>
        <w:tc>
          <w:tcPr>
            <w:tcW w:w="2251" w:type="dxa"/>
            <w:vMerge/>
          </w:tcPr>
          <w:p w14:paraId="4FC123DF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414F6" w:rsidRPr="007F3343" w14:paraId="2B5D1386" w14:textId="77777777" w:rsidTr="00FD6D86">
        <w:trPr>
          <w:cantSplit/>
          <w:trHeight w:val="2060"/>
        </w:trPr>
        <w:tc>
          <w:tcPr>
            <w:tcW w:w="1158" w:type="dxa"/>
            <w:gridSpan w:val="2"/>
            <w:textDirection w:val="btLr"/>
            <w:vAlign w:val="center"/>
          </w:tcPr>
          <w:p w14:paraId="29F1BE7E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t>Average specifications of the studied buildings</w:t>
            </w:r>
          </w:p>
        </w:tc>
        <w:tc>
          <w:tcPr>
            <w:tcW w:w="627" w:type="dxa"/>
            <w:textDirection w:val="btLr"/>
            <w:vAlign w:val="center"/>
          </w:tcPr>
          <w:p w14:paraId="3A25ACC8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Average area of land</w:t>
            </w:r>
          </w:p>
        </w:tc>
        <w:tc>
          <w:tcPr>
            <w:tcW w:w="627" w:type="dxa"/>
            <w:textDirection w:val="btLr"/>
            <w:vAlign w:val="center"/>
          </w:tcPr>
          <w:p w14:paraId="526259A9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average occupancy level</w:t>
            </w:r>
          </w:p>
        </w:tc>
        <w:tc>
          <w:tcPr>
            <w:tcW w:w="627" w:type="dxa"/>
            <w:textDirection w:val="btLr"/>
            <w:vAlign w:val="center"/>
          </w:tcPr>
          <w:p w14:paraId="22167C8B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average outside mobility</w:t>
            </w:r>
          </w:p>
        </w:tc>
        <w:tc>
          <w:tcPr>
            <w:tcW w:w="627" w:type="dxa"/>
            <w:textDirection w:val="btLr"/>
            <w:vAlign w:val="center"/>
          </w:tcPr>
          <w:p w14:paraId="53B4934C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average green space</w:t>
            </w:r>
          </w:p>
        </w:tc>
        <w:tc>
          <w:tcPr>
            <w:tcW w:w="627" w:type="dxa"/>
            <w:textDirection w:val="btLr"/>
            <w:vAlign w:val="center"/>
          </w:tcPr>
          <w:p w14:paraId="5183AA4B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average fountain space</w:t>
            </w:r>
          </w:p>
        </w:tc>
        <w:tc>
          <w:tcPr>
            <w:tcW w:w="567" w:type="dxa"/>
            <w:textDirection w:val="btLr"/>
            <w:vAlign w:val="center"/>
          </w:tcPr>
          <w:p w14:paraId="4328D75D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closed space density</w:t>
            </w:r>
          </w:p>
        </w:tc>
        <w:tc>
          <w:tcPr>
            <w:tcW w:w="625" w:type="dxa"/>
            <w:textDirection w:val="btLr"/>
            <w:vAlign w:val="center"/>
          </w:tcPr>
          <w:p w14:paraId="10DAD5A4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internal space mobility</w:t>
            </w:r>
          </w:p>
        </w:tc>
        <w:tc>
          <w:tcPr>
            <w:tcW w:w="627" w:type="dxa"/>
            <w:textDirection w:val="btLr"/>
            <w:vAlign w:val="center"/>
          </w:tcPr>
          <w:p w14:paraId="3642B9AA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internal space stillness</w:t>
            </w:r>
          </w:p>
        </w:tc>
        <w:tc>
          <w:tcPr>
            <w:tcW w:w="627" w:type="dxa"/>
            <w:textDirection w:val="btLr"/>
            <w:vAlign w:val="center"/>
          </w:tcPr>
          <w:p w14:paraId="38D9745E" w14:textId="77777777" w:rsidR="00D414F6" w:rsidRPr="007F3343" w:rsidRDefault="00D414F6" w:rsidP="00FD6D86">
            <w:pPr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% of internal physical space</w:t>
            </w:r>
          </w:p>
        </w:tc>
        <w:tc>
          <w:tcPr>
            <w:tcW w:w="2251" w:type="dxa"/>
            <w:vAlign w:val="center"/>
          </w:tcPr>
          <w:p w14:paraId="09520A2D" w14:textId="77777777" w:rsidR="00D414F6" w:rsidRPr="007F3343" w:rsidRDefault="00D414F6" w:rsidP="00FD6D86">
            <w:pPr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Floor status</w:t>
            </w:r>
          </w:p>
        </w:tc>
      </w:tr>
      <w:tr w:rsidR="00D414F6" w:rsidRPr="007F3343" w14:paraId="7372D768" w14:textId="77777777" w:rsidTr="00FD6D86">
        <w:trPr>
          <w:cantSplit/>
          <w:trHeight w:val="1610"/>
        </w:trPr>
        <w:tc>
          <w:tcPr>
            <w:tcW w:w="1158" w:type="dxa"/>
            <w:gridSpan w:val="2"/>
            <w:textDirection w:val="btLr"/>
            <w:vAlign w:val="center"/>
          </w:tcPr>
          <w:p w14:paraId="2CC2D7D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  <w:r w:rsidRPr="007F3343"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  <w:lastRenderedPageBreak/>
              <w:t>Results of the values examined</w:t>
            </w:r>
          </w:p>
        </w:tc>
        <w:tc>
          <w:tcPr>
            <w:tcW w:w="627" w:type="dxa"/>
            <w:textDirection w:val="btLr"/>
            <w:vAlign w:val="center"/>
          </w:tcPr>
          <w:p w14:paraId="49DF3CFB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6493 m</w:t>
            </w:r>
            <w:r w:rsidRPr="007F3343">
              <w:rPr>
                <w:rFonts w:asciiTheme="majorBidi" w:hAnsiTheme="majorBidi" w:cstheme="majorBid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627" w:type="dxa"/>
            <w:textDirection w:val="btLr"/>
            <w:vAlign w:val="center"/>
          </w:tcPr>
          <w:p w14:paraId="143335E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23.95%</w:t>
            </w:r>
          </w:p>
        </w:tc>
        <w:tc>
          <w:tcPr>
            <w:tcW w:w="627" w:type="dxa"/>
            <w:textDirection w:val="btLr"/>
            <w:vAlign w:val="center"/>
          </w:tcPr>
          <w:p w14:paraId="0BA8057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54.25%</w:t>
            </w:r>
          </w:p>
        </w:tc>
        <w:tc>
          <w:tcPr>
            <w:tcW w:w="627" w:type="dxa"/>
            <w:textDirection w:val="btLr"/>
            <w:vAlign w:val="center"/>
          </w:tcPr>
          <w:p w14:paraId="47E737B8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17.50%</w:t>
            </w:r>
          </w:p>
        </w:tc>
        <w:tc>
          <w:tcPr>
            <w:tcW w:w="627" w:type="dxa"/>
            <w:textDirection w:val="btLr"/>
            <w:vAlign w:val="center"/>
          </w:tcPr>
          <w:p w14:paraId="0C51673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4.30%</w:t>
            </w:r>
          </w:p>
        </w:tc>
        <w:tc>
          <w:tcPr>
            <w:tcW w:w="567" w:type="dxa"/>
            <w:textDirection w:val="btLr"/>
            <w:vAlign w:val="center"/>
          </w:tcPr>
          <w:p w14:paraId="29F23706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466.10%</w:t>
            </w:r>
          </w:p>
        </w:tc>
        <w:tc>
          <w:tcPr>
            <w:tcW w:w="625" w:type="dxa"/>
            <w:textDirection w:val="btLr"/>
            <w:vAlign w:val="center"/>
          </w:tcPr>
          <w:p w14:paraId="4C35ACEF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62.95%</w:t>
            </w:r>
          </w:p>
        </w:tc>
        <w:tc>
          <w:tcPr>
            <w:tcW w:w="627" w:type="dxa"/>
            <w:textDirection w:val="btLr"/>
            <w:vAlign w:val="center"/>
          </w:tcPr>
          <w:p w14:paraId="423818CD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30.55%</w:t>
            </w:r>
          </w:p>
        </w:tc>
        <w:tc>
          <w:tcPr>
            <w:tcW w:w="627" w:type="dxa"/>
            <w:textDirection w:val="btLr"/>
            <w:vAlign w:val="center"/>
          </w:tcPr>
          <w:p w14:paraId="7D1C515A" w14:textId="77777777" w:rsidR="00D414F6" w:rsidRPr="007F3343" w:rsidRDefault="00D414F6" w:rsidP="00FD6D86">
            <w:pPr>
              <w:spacing w:line="360" w:lineRule="auto"/>
              <w:ind w:left="113" w:right="113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6.50%</w:t>
            </w:r>
          </w:p>
        </w:tc>
        <w:tc>
          <w:tcPr>
            <w:tcW w:w="2251" w:type="dxa"/>
            <w:vAlign w:val="center"/>
          </w:tcPr>
          <w:p w14:paraId="4269E494" w14:textId="77777777" w:rsidR="00D414F6" w:rsidRPr="007F3343" w:rsidRDefault="00D414F6" w:rsidP="00FD6D86">
            <w:pPr>
              <w:spacing w:line="360" w:lineRule="auto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F3343">
              <w:rPr>
                <w:rFonts w:asciiTheme="majorBidi" w:hAnsiTheme="majorBidi" w:cstheme="majorBidi"/>
                <w:sz w:val="20"/>
                <w:szCs w:val="20"/>
              </w:rPr>
              <w:t>1 to 3 floors of historic building</w:t>
            </w:r>
          </w:p>
        </w:tc>
      </w:tr>
    </w:tbl>
    <w:p w14:paraId="4ACDBF29" w14:textId="77777777" w:rsidR="00E1715D" w:rsidRDefault="00D414F6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4F6"/>
    <w:rsid w:val="001942F0"/>
    <w:rsid w:val="002C0857"/>
    <w:rsid w:val="003F01F8"/>
    <w:rsid w:val="00884728"/>
    <w:rsid w:val="008E2845"/>
    <w:rsid w:val="00D00B5E"/>
    <w:rsid w:val="00D414F6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7F8FEB"/>
  <w15:chartTrackingRefBased/>
  <w15:docId w15:val="{FC4312A3-09F4-40C9-84DA-81F0B93D2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14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414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10" Type="http://schemas.openxmlformats.org/officeDocument/2006/relationships/image" Target="media/image7.jpe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337</Words>
  <Characters>1927</Characters>
  <Application>Microsoft Office Word</Application>
  <DocSecurity>0</DocSecurity>
  <Lines>16</Lines>
  <Paragraphs>4</Paragraphs>
  <ScaleCrop>false</ScaleCrop>
  <Company>Springer Nature</Company>
  <LinksUpToDate>false</LinksUpToDate>
  <CharactersWithSpaces>2260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2023-06-19T13:47:00Z</dcterms:created>
  <dcterms:modified xsi:type="dcterms:W3CDTF">2023-06-19T13:47:00Z</dcterms:modified>
</cp:coreProperties>
</file>