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numPr>
          <w:ilvl w:val="0"/>
          <w:numId w:val="0"/>
        </w:numPr>
        <w:spacing w:line="480" w:lineRule="auto"/>
        <w:ind w:left="357" w:hanging="357"/>
        <w:jc w:val="center"/>
        <w:rPr>
          <w:sz w:val="22"/>
        </w:rPr>
      </w:pPr>
      <w:r>
        <w:rPr>
          <w:sz w:val="22"/>
        </w:rPr>
        <w:t>Supplementary Material</w:t>
      </w:r>
    </w:p>
    <w:p>
      <w:pPr>
        <w:pStyle w:val="2"/>
        <w:spacing w:before="156" w:beforeLines="50" w:line="480" w:lineRule="auto"/>
        <w:ind w:right="113"/>
        <w:jc w:val="both"/>
        <w:rPr>
          <w:color w:val="131413"/>
        </w:rPr>
      </w:pPr>
      <w:r>
        <w:rPr>
          <w:rFonts w:eastAsia="Times New Roman"/>
          <w:b/>
          <w:bCs/>
          <w:color w:val="131413"/>
        </w:rPr>
        <w:t xml:space="preserve">Supplementary Table 1 Parameters of abdominal MRI sequences. </w:t>
      </w:r>
    </w:p>
    <w:tbl>
      <w:tblPr>
        <w:tblStyle w:val="3"/>
        <w:tblW w:w="4141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4"/>
        <w:gridCol w:w="1872"/>
        <w:gridCol w:w="201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Parameters</w:t>
            </w:r>
          </w:p>
        </w:tc>
        <w:tc>
          <w:tcPr>
            <w:tcW w:w="1326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T2WI</w:t>
            </w:r>
          </w:p>
        </w:tc>
        <w:tc>
          <w:tcPr>
            <w:tcW w:w="142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DWI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TR</w:t>
            </w:r>
          </w:p>
        </w:tc>
        <w:tc>
          <w:tcPr>
            <w:tcW w:w="1326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1610</w:t>
            </w:r>
          </w:p>
        </w:tc>
        <w:tc>
          <w:tcPr>
            <w:tcW w:w="1425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933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TE</w:t>
            </w: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70</w:t>
            </w:r>
          </w:p>
        </w:tc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Flip angle (degrees)</w:t>
            </w: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90</w:t>
            </w:r>
          </w:p>
        </w:tc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Matrix size (mm × mm)</w:t>
            </w: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176 × 201</w:t>
            </w:r>
          </w:p>
        </w:tc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100 × 124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Field of view (FOV)(mm × mm)</w:t>
            </w: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280 × 305</w:t>
            </w:r>
          </w:p>
        </w:tc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280 × 305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Slice thickness (mm)</w:t>
            </w: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7</w:t>
            </w:r>
          </w:p>
        </w:tc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Slice gap (mm)</w:t>
            </w: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1</w:t>
            </w:r>
          </w:p>
        </w:tc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Number of slices (slices)</w:t>
            </w: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24</w:t>
            </w:r>
          </w:p>
        </w:tc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Number of excitation (NEX)</w:t>
            </w: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2</w:t>
            </w:r>
          </w:p>
        </w:tc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B values (s/mm</w:t>
            </w: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)</w:t>
            </w:r>
          </w:p>
        </w:tc>
        <w:tc>
          <w:tcPr>
            <w:tcW w:w="132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-</w:t>
            </w:r>
          </w:p>
        </w:tc>
        <w:tc>
          <w:tcPr>
            <w:tcW w:w="1425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uto"/>
              <w:ind w:firstLine="200" w:firstLineChars="10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0, 800</w:t>
            </w:r>
          </w:p>
        </w:tc>
      </w:tr>
    </w:tbl>
    <w:p>
      <w:pPr>
        <w:pStyle w:val="2"/>
        <w:spacing w:before="156" w:beforeLines="50" w:line="240" w:lineRule="auto"/>
        <w:ind w:right="113"/>
        <w:jc w:val="both"/>
        <w:rPr>
          <w:color w:val="131413"/>
          <w:sz w:val="18"/>
          <w:szCs w:val="18"/>
        </w:rPr>
      </w:pPr>
      <w:r>
        <w:rPr>
          <w:rFonts w:hint="eastAsia"/>
          <w:bCs/>
          <w:color w:val="131413"/>
          <w:sz w:val="18"/>
          <w:szCs w:val="18"/>
          <w:lang w:val="en-US" w:eastAsia="zh-CN"/>
        </w:rPr>
        <w:t xml:space="preserve">Note: </w:t>
      </w:r>
      <w:r>
        <w:rPr>
          <w:rFonts w:eastAsia="Times New Roman"/>
          <w:bCs/>
          <w:color w:val="131413"/>
          <w:sz w:val="18"/>
          <w:szCs w:val="18"/>
        </w:rPr>
        <w:t>Two MRI sequences were used including the axial fat-suppressed turbo spin echo (TSE) T2-weighted imaging (</w:t>
      </w:r>
      <w:r>
        <w:rPr>
          <w:color w:val="131413"/>
          <w:sz w:val="18"/>
          <w:szCs w:val="18"/>
        </w:rPr>
        <w:t>T2WI</w:t>
      </w:r>
      <w:r>
        <w:rPr>
          <w:rFonts w:eastAsia="Times New Roman"/>
          <w:bCs/>
          <w:color w:val="131413"/>
          <w:sz w:val="18"/>
          <w:szCs w:val="18"/>
        </w:rPr>
        <w:t>) and the axial diffusion weighted imaging (DWI). Key parameters were listed below, such as repetition time (TR) and echo time (TE).</w:t>
      </w:r>
    </w:p>
    <w:p>
      <w:pPr>
        <w:widowControl/>
        <w:spacing w:line="480" w:lineRule="auto"/>
        <w:jc w:val="left"/>
        <w:rPr>
          <w:rFonts w:ascii="Times New Roman" w:hAnsi="Times New Roman" w:eastAsia="Times New Roman" w:cs="Times New Roman"/>
          <w:b/>
          <w:bCs/>
          <w:color w:val="131413"/>
          <w:kern w:val="0"/>
          <w:sz w:val="20"/>
          <w:szCs w:val="20"/>
        </w:rPr>
      </w:pPr>
    </w:p>
    <w:p>
      <w:pPr>
        <w:widowControl/>
        <w:jc w:val="left"/>
        <w:rPr>
          <w:rFonts w:ascii="Times New Roman" w:hAnsi="Times New Roman" w:eastAsia="Times New Roman" w:cs="Times New Roman"/>
          <w:b/>
          <w:bCs/>
          <w:color w:val="131413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131413"/>
          <w:kern w:val="0"/>
          <w:sz w:val="20"/>
          <w:szCs w:val="20"/>
        </w:rPr>
        <w:br w:type="page"/>
      </w:r>
    </w:p>
    <w:p>
      <w:pPr>
        <w:autoSpaceDE w:val="0"/>
        <w:autoSpaceDN w:val="0"/>
        <w:spacing w:before="156" w:beforeLines="50"/>
        <w:rPr>
          <w:rFonts w:ascii="Times New Roman" w:hAnsi="Times New Roman" w:cs="Times New Roman"/>
          <w:b/>
          <w:color w:val="131413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131413"/>
          <w:kern w:val="0"/>
          <w:sz w:val="20"/>
          <w:szCs w:val="20"/>
        </w:rPr>
        <w:t>Supplementary Table 2</w:t>
      </w:r>
      <w:r>
        <w:rPr>
          <w:rFonts w:ascii="Times New Roman" w:hAnsi="Times New Roman" w:eastAsia="Times New Roman" w:cs="Times New Roman"/>
          <w:b/>
          <w:color w:val="131413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131413"/>
          <w:kern w:val="0"/>
          <w:sz w:val="20"/>
          <w:szCs w:val="20"/>
        </w:rPr>
        <w:t xml:space="preserve">Clinicopathological characteristics of ECC patients in death and survival groups. </w:t>
      </w:r>
    </w:p>
    <w:tbl>
      <w:tblPr>
        <w:tblStyle w:val="3"/>
        <w:tblW w:w="92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1920"/>
        <w:gridCol w:w="1903"/>
        <w:gridCol w:w="1928"/>
        <w:gridCol w:w="10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8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Clinicopathological characteristics</w:t>
            </w:r>
          </w:p>
        </w:tc>
        <w:tc>
          <w:tcPr>
            <w:tcW w:w="19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All samples (n =104)</w:t>
            </w:r>
          </w:p>
        </w:tc>
        <w:tc>
          <w:tcPr>
            <w:tcW w:w="190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 xml:space="preserve">Death (n = 64) </w:t>
            </w:r>
            <w:r>
              <w:rPr>
                <w:rFonts w:hint="eastAsia"/>
                <w:color w:val="131413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92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 xml:space="preserve">Survival (n = 40) </w:t>
            </w:r>
            <w:r>
              <w:rPr>
                <w:rFonts w:hint="eastAsia"/>
                <w:color w:val="131413"/>
                <w:sz w:val="20"/>
                <w:szCs w:val="20"/>
                <w:vertAlign w:val="superscript"/>
              </w:rPr>
              <w:t>&amp;</w:t>
            </w:r>
          </w:p>
        </w:tc>
        <w:tc>
          <w:tcPr>
            <w:tcW w:w="107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rFonts w:hint="eastAsia"/>
                <w:i/>
                <w:color w:val="131413"/>
                <w:sz w:val="20"/>
                <w:szCs w:val="20"/>
              </w:rPr>
              <w:t xml:space="preserve">p </w:t>
            </w:r>
            <w:r>
              <w:rPr>
                <w:color w:val="131413"/>
                <w:sz w:val="20"/>
                <w:szCs w:val="20"/>
              </w:rPr>
              <w:t>value 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Time (month)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13.5 (6.0, 31.8)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8.5 (4.0, 17.8)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34.0 (11.5, 60.3)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 xml:space="preserve">&lt; 0.001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Age (year)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62.0 (53.0, 66.0)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62.0 (53.0, 65.0)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61.0 (53.3, 66.8)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 xml:space="preserve">0.973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Gender (female)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46 (44.2%)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34 (53.1%)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12 (30.0%)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 xml:space="preserve">0.021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ALT (U/L)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86.0 (57.6, 161.6)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91.5 (58.7, 168.2)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72.9 (55.9, 155.5)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 xml:space="preserve">0.498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AST (U/L)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77.7 (51.3, 120.3)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84.1 (52.3, 127.4)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65.9 (49.7, 105.4)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 xml:space="preserve">0.440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TBIL (μmol/L)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154.7 (81.9, 222.6)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175.9 (128.4, 236.2)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85.8 (47.6, 166.4)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 xml:space="preserve">0.001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DBIL (μmol/L)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123.3 (61.5, 182.3)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139.9 (104.8, 190.1)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66.9 (37.8, 146.4)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 xml:space="preserve">0.002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GGT (U/L)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419.2 (198.0, 829.0)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392.5 (201.9, 797.7)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481.2 (157.4,1088.8)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 xml:space="preserve">0.506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CA199 (U/mL)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123.5 (62.4, 233.6)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142.9 (63.2, 265.2)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107.5 (62.4, 189.6)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0.123</w:t>
            </w:r>
          </w:p>
        </w:tc>
      </w:tr>
    </w:tbl>
    <w:p>
      <w:pPr>
        <w:autoSpaceDE w:val="0"/>
        <w:autoSpaceDN w:val="0"/>
        <w:spacing w:before="156" w:beforeLines="50"/>
        <w:rPr>
          <w:rFonts w:ascii="Times New Roman" w:hAnsi="Times New Roman" w:cs="Times New Roman"/>
          <w:b/>
          <w:color w:val="131413"/>
          <w:kern w:val="0"/>
          <w:sz w:val="18"/>
          <w:szCs w:val="18"/>
        </w:rPr>
      </w:pPr>
      <w:r>
        <w:rPr>
          <w:rFonts w:hint="eastAsia" w:ascii="Times New Roman" w:hAnsi="Times New Roman" w:cs="Times New Roman"/>
          <w:color w:val="131413"/>
          <w:kern w:val="0"/>
          <w:sz w:val="18"/>
          <w:szCs w:val="18"/>
          <w:lang w:val="en-US" w:eastAsia="zh-CN"/>
        </w:rPr>
        <w:t xml:space="preserve">Note: </w:t>
      </w:r>
      <w:r>
        <w:rPr>
          <w:rFonts w:ascii="Times New Roman" w:hAnsi="Times New Roman" w:cs="Times New Roman"/>
          <w:color w:val="131413"/>
          <w:kern w:val="0"/>
          <w:sz w:val="18"/>
          <w:szCs w:val="18"/>
        </w:rPr>
        <w:t xml:space="preserve">Statistical analyses were performed between the death and the survival groups.  Continuous variables with abnormal distribution were represented as median (Q1, Q3) and compared with Mann-Whitney </w:t>
      </w:r>
      <w:r>
        <w:rPr>
          <w:rFonts w:ascii="Times New Roman" w:hAnsi="Times New Roman" w:cs="Times New Roman"/>
          <w:i/>
          <w:color w:val="131413"/>
          <w:kern w:val="0"/>
          <w:sz w:val="18"/>
          <w:szCs w:val="18"/>
        </w:rPr>
        <w:t>U</w:t>
      </w:r>
      <w:r>
        <w:rPr>
          <w:rFonts w:ascii="Times New Roman" w:hAnsi="Times New Roman" w:cs="Times New Roman"/>
          <w:color w:val="131413"/>
          <w:kern w:val="0"/>
          <w:sz w:val="18"/>
          <w:szCs w:val="18"/>
        </w:rPr>
        <w:t xml:space="preserve"> tests. Categorical variables were represented as N (%) and compared with chi-square tests.</w:t>
      </w:r>
    </w:p>
    <w:p>
      <w:pPr>
        <w:widowControl/>
        <w:spacing w:before="156" w:beforeLines="50"/>
        <w:rPr>
          <w:rFonts w:ascii="Times New Roman" w:hAnsi="Times New Roman" w:cs="Times New Roman"/>
          <w:i/>
          <w:color w:val="131413"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i/>
          <w:color w:val="131413"/>
          <w:sz w:val="20"/>
        </w:rPr>
      </w:pPr>
      <w:r>
        <w:rPr>
          <w:rFonts w:ascii="Times New Roman" w:hAnsi="Times New Roman" w:cs="Times New Roman"/>
          <w:i/>
          <w:color w:val="131413"/>
          <w:sz w:val="20"/>
        </w:rPr>
        <w:br w:type="page"/>
      </w:r>
    </w:p>
    <w:p>
      <w:pPr>
        <w:widowControl/>
        <w:spacing w:before="156" w:beforeLines="50"/>
        <w:rPr>
          <w:rFonts w:ascii="Times New Roman" w:hAnsi="Times New Roman" w:eastAsia="Times New Roman" w:cs="Times New Roman"/>
          <w:b/>
          <w:bCs/>
          <w:color w:val="131413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131413"/>
          <w:kern w:val="0"/>
          <w:sz w:val="20"/>
          <w:szCs w:val="20"/>
        </w:rPr>
        <w:t xml:space="preserve">Supplementary Table 3 Imaging features of ECC patients in death and survival groups. </w:t>
      </w:r>
    </w:p>
    <w:tbl>
      <w:tblPr>
        <w:tblStyle w:val="3"/>
        <w:tblW w:w="833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1474"/>
        <w:gridCol w:w="1474"/>
        <w:gridCol w:w="1474"/>
        <w:gridCol w:w="85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6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Imaging features</w:t>
            </w:r>
          </w:p>
        </w:tc>
        <w:tc>
          <w:tcPr>
            <w:tcW w:w="147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 xml:space="preserve">All samples </w:t>
            </w:r>
          </w:p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(n = 104)</w:t>
            </w:r>
          </w:p>
        </w:tc>
        <w:tc>
          <w:tcPr>
            <w:tcW w:w="147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 xml:space="preserve">Death </w:t>
            </w:r>
            <w:r>
              <w:rPr>
                <w:rFonts w:hint="eastAsia"/>
                <w:color w:val="131413"/>
                <w:sz w:val="20"/>
                <w:szCs w:val="20"/>
                <w:vertAlign w:val="superscript"/>
              </w:rPr>
              <w:t>#</w:t>
            </w:r>
          </w:p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 xml:space="preserve">(n = 64) </w:t>
            </w:r>
          </w:p>
        </w:tc>
        <w:tc>
          <w:tcPr>
            <w:tcW w:w="147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  <w:vertAlign w:val="superscript"/>
              </w:rPr>
            </w:pPr>
            <w:r>
              <w:rPr>
                <w:color w:val="131413"/>
                <w:sz w:val="20"/>
                <w:szCs w:val="20"/>
              </w:rPr>
              <w:t xml:space="preserve">Survival </w:t>
            </w:r>
            <w:r>
              <w:rPr>
                <w:rFonts w:hint="eastAsia"/>
                <w:color w:val="131413"/>
                <w:sz w:val="20"/>
                <w:szCs w:val="20"/>
                <w:vertAlign w:val="superscript"/>
              </w:rPr>
              <w:t>&amp;</w:t>
            </w:r>
          </w:p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(n = 40)</w:t>
            </w:r>
          </w:p>
        </w:tc>
        <w:tc>
          <w:tcPr>
            <w:tcW w:w="85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i/>
                <w:color w:val="131413"/>
                <w:sz w:val="20"/>
                <w:szCs w:val="20"/>
              </w:rPr>
              <w:t>p</w:t>
            </w:r>
            <w:r>
              <w:rPr>
                <w:color w:val="131413"/>
                <w:sz w:val="20"/>
                <w:szCs w:val="20"/>
              </w:rPr>
              <w:t xml:space="preserve">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Tumor size (cm)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2.1 (1.6, 2.8)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2.4 (1.5, 3.2)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1.9 (1.6, 2.6)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0.094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Lesion's location (dCCA)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63 (60.6%)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36 (56.3%)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27 (67.5%)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0.253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Morphology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0.010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before="0" w:after="0" w:afterAutospacing="0"/>
              <w:ind w:left="555" w:hanging="357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Periductal infiltrating type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44 (42.3%)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25 (39.1%)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19 (47.5%)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before="0" w:after="0" w:afterAutospacing="0"/>
              <w:ind w:left="555" w:hanging="357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Intraductal growth type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43 (41.3%)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23 (35.9%)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20 (50.0%)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before="0" w:after="0" w:afterAutospacing="0"/>
              <w:ind w:left="555" w:hanging="357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Mass-forming type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17 (16.3%)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16 (25.0%)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 (2.5%)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Lesion's signal (homogeneous)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43 (41.3%)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26 (40.6%)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17 (42.5%)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0.850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rFonts w:hint="eastAsia"/>
                <w:color w:val="131413"/>
                <w:spacing w:val="-4"/>
                <w:kern w:val="0"/>
                <w:sz w:val="20"/>
                <w:szCs w:val="20"/>
                <w:lang w:val="en-US" w:eastAsia="zh-CN"/>
              </w:rPr>
              <w:t>I</w:t>
            </w:r>
            <w:r>
              <w:rPr>
                <w:color w:val="131413"/>
                <w:spacing w:val="-4"/>
                <w:kern w:val="0"/>
                <w:sz w:val="20"/>
                <w:szCs w:val="20"/>
              </w:rPr>
              <w:t>ntrahepatic bile duct dilatation</w:t>
            </w:r>
            <w:r>
              <w:rPr>
                <w:color w:val="131413"/>
                <w:sz w:val="20"/>
                <w:szCs w:val="20"/>
              </w:rPr>
              <w:t xml:space="preserve"> (cm)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1.3 (1.0, 1.6)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1.3 (1.0, 1.6)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1.2 (1.0, 1.6)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0.981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DWI signal (hig</w:t>
            </w:r>
            <w:bookmarkStart w:id="0" w:name="_GoBack"/>
            <w:bookmarkEnd w:id="0"/>
            <w:r>
              <w:rPr>
                <w:color w:val="131413"/>
                <w:sz w:val="20"/>
                <w:szCs w:val="20"/>
              </w:rPr>
              <w:t>h)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80 (76.9%)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51 (79.7%)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29 (72.5%)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0.397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ADC</w:t>
            </w:r>
            <w:r>
              <w:rPr>
                <w:color w:val="131413"/>
                <w:sz w:val="20"/>
                <w:szCs w:val="20"/>
                <w:vertAlign w:val="subscript"/>
              </w:rPr>
              <w:t>Lesion</w:t>
            </w:r>
            <w:r>
              <w:rPr>
                <w:color w:val="131413"/>
                <w:sz w:val="20"/>
                <w:szCs w:val="20"/>
              </w:rPr>
              <w:t xml:space="preserve"> (mm</w:t>
            </w:r>
            <w:r>
              <w:rPr>
                <w:color w:val="131413"/>
                <w:sz w:val="20"/>
                <w:szCs w:val="20"/>
                <w:vertAlign w:val="superscript"/>
              </w:rPr>
              <w:t>2</w:t>
            </w:r>
            <w:r>
              <w:rPr>
                <w:color w:val="131413"/>
                <w:sz w:val="20"/>
                <w:szCs w:val="20"/>
              </w:rPr>
              <w:t>/s)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1.3 (1.1, 1.5)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1.3 (1.1, 1.4)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1.4 (1.1, 1.6)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0.411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SIR</w:t>
            </w:r>
            <w:r>
              <w:rPr>
                <w:color w:val="131413"/>
                <w:sz w:val="20"/>
                <w:szCs w:val="20"/>
                <w:vertAlign w:val="subscript"/>
              </w:rPr>
              <w:t>Liver/Muscle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0.9 (0.8, 2.3)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0.9 (0.8, 1.1)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1.0 (0.8, 1.2)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0.434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SIR</w:t>
            </w:r>
            <w:r>
              <w:rPr>
                <w:color w:val="131413"/>
                <w:sz w:val="20"/>
                <w:szCs w:val="20"/>
                <w:vertAlign w:val="subscript"/>
              </w:rPr>
              <w:t>Spleen/Muscle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2.0 (1.7, 2.3)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2.0 (1.7, 2.3)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2.1 (1.8, 2.4)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0.326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SI</w:t>
            </w:r>
            <w:r>
              <w:rPr>
                <w:color w:val="131413"/>
                <w:sz w:val="20"/>
                <w:szCs w:val="20"/>
                <w:vertAlign w:val="subscript"/>
              </w:rPr>
              <w:t>Liver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1.0 (0.9, 1.1)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1.0 (0.9, 1.1)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1.0 (0.9, 1.1)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0.963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SI</w:t>
            </w:r>
            <w:r>
              <w:rPr>
                <w:color w:val="131413"/>
                <w:sz w:val="20"/>
                <w:szCs w:val="20"/>
                <w:vertAlign w:val="subscript"/>
              </w:rPr>
              <w:t>Spleen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0.9 (0.8, 1.0)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0.9 (0.8, 1.0)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0.8 (0.7, 0.9)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9"/>
              <w:spacing w:before="0" w:after="0" w:afterAutospacing="0"/>
              <w:rPr>
                <w:color w:val="131413"/>
                <w:sz w:val="20"/>
                <w:szCs w:val="20"/>
              </w:rPr>
            </w:pPr>
            <w:r>
              <w:rPr>
                <w:color w:val="131413"/>
                <w:sz w:val="20"/>
                <w:szCs w:val="20"/>
              </w:rPr>
              <w:t>0.063</w:t>
            </w:r>
          </w:p>
        </w:tc>
      </w:tr>
    </w:tbl>
    <w:p>
      <w:pPr>
        <w:widowControl/>
        <w:spacing w:before="156" w:beforeLines="50"/>
        <w:rPr>
          <w:rFonts w:ascii="Times New Roman" w:hAnsi="Times New Roman" w:cs="Times New Roman"/>
          <w:color w:val="131413"/>
          <w:sz w:val="18"/>
          <w:szCs w:val="18"/>
        </w:rPr>
      </w:pPr>
      <w:r>
        <w:rPr>
          <w:rFonts w:hint="eastAsia" w:ascii="Times New Roman" w:hAnsi="Times New Roman" w:cs="Times New Roman"/>
          <w:color w:val="131413"/>
          <w:sz w:val="18"/>
          <w:szCs w:val="18"/>
          <w:lang w:val="en-US" w:eastAsia="zh-CN"/>
        </w:rPr>
        <w:t xml:space="preserve">Note: </w:t>
      </w:r>
      <w:r>
        <w:rPr>
          <w:rFonts w:ascii="Times New Roman" w:hAnsi="Times New Roman" w:cs="Times New Roman"/>
          <w:color w:val="131413"/>
          <w:sz w:val="18"/>
          <w:szCs w:val="18"/>
        </w:rPr>
        <w:t>Continuous</w:t>
      </w:r>
      <w:r>
        <w:rPr>
          <w:rFonts w:ascii="Times New Roman" w:hAnsi="Times New Roman" w:cs="Times New Roman"/>
          <w:color w:val="131413"/>
          <w:spacing w:val="-1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variables</w:t>
      </w:r>
      <w:r>
        <w:rPr>
          <w:rFonts w:ascii="Times New Roman" w:hAnsi="Times New Roman" w:cs="Times New Roman"/>
          <w:color w:val="131413"/>
          <w:spacing w:val="-1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with</w:t>
      </w:r>
      <w:r>
        <w:rPr>
          <w:rFonts w:ascii="Times New Roman" w:hAnsi="Times New Roman" w:cs="Times New Roman"/>
          <w:color w:val="131413"/>
          <w:spacing w:val="-15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normal</w:t>
      </w:r>
      <w:r>
        <w:rPr>
          <w:rFonts w:ascii="Times New Roman" w:hAnsi="Times New Roman" w:cs="Times New Roman"/>
          <w:color w:val="131413"/>
          <w:spacing w:val="-15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distribution</w:t>
      </w:r>
      <w:r>
        <w:rPr>
          <w:rFonts w:ascii="Times New Roman" w:hAnsi="Times New Roman" w:cs="Times New Roman"/>
          <w:color w:val="131413"/>
          <w:spacing w:val="-1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were</w:t>
      </w:r>
      <w:r>
        <w:rPr>
          <w:rFonts w:ascii="Times New Roman" w:hAnsi="Times New Roman" w:cs="Times New Roman"/>
          <w:color w:val="131413"/>
          <w:spacing w:val="-1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presented</w:t>
      </w:r>
      <w:r>
        <w:rPr>
          <w:rFonts w:ascii="Times New Roman" w:hAnsi="Times New Roman" w:cs="Times New Roman"/>
          <w:color w:val="131413"/>
          <w:spacing w:val="-17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as</w:t>
      </w:r>
      <w:r>
        <w:rPr>
          <w:rFonts w:ascii="Times New Roman" w:hAnsi="Times New Roman" w:cs="Times New Roman"/>
          <w:color w:val="131413"/>
          <w:spacing w:val="-1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 xml:space="preserve">mean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± </w:t>
      </w:r>
      <w:r>
        <w:rPr>
          <w:rFonts w:ascii="Times New Roman" w:hAnsi="Times New Roman" w:cs="Times New Roman"/>
          <w:color w:val="131413"/>
          <w:sz w:val="18"/>
          <w:szCs w:val="18"/>
        </w:rPr>
        <w:t>standard</w:t>
      </w:r>
      <w:r>
        <w:rPr>
          <w:rFonts w:ascii="Times New Roman" w:hAnsi="Times New Roman" w:cs="Times New Roman"/>
          <w:color w:val="131413"/>
          <w:spacing w:val="-1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 xml:space="preserve">deviation, using the </w:t>
      </w:r>
      <w:r>
        <w:rPr>
          <w:rFonts w:ascii="Times New Roman" w:hAnsi="Times New Roman" w:cs="Times New Roman"/>
          <w:i/>
          <w:color w:val="131413"/>
          <w:sz w:val="18"/>
          <w:szCs w:val="18"/>
        </w:rPr>
        <w:t>t</w:t>
      </w:r>
      <w:r>
        <w:rPr>
          <w:rFonts w:ascii="Times New Roman" w:hAnsi="Times New Roman" w:cs="Times New Roman"/>
          <w:color w:val="131413"/>
          <w:sz w:val="18"/>
          <w:szCs w:val="18"/>
        </w:rPr>
        <w:t xml:space="preserve"> test for comparison, and</w:t>
      </w:r>
      <w:r>
        <w:rPr>
          <w:rFonts w:ascii="Times New Roman" w:hAnsi="Times New Roman" w:cs="Times New Roman"/>
          <w:color w:val="131413"/>
          <w:spacing w:val="-15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those</w:t>
      </w:r>
      <w:r>
        <w:rPr>
          <w:rFonts w:ascii="Times New Roman" w:hAnsi="Times New Roman" w:cs="Times New Roman"/>
          <w:color w:val="131413"/>
          <w:spacing w:val="-15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with</w:t>
      </w:r>
      <w:r>
        <w:rPr>
          <w:rFonts w:ascii="Times New Roman" w:hAnsi="Times New Roman" w:cs="Times New Roman"/>
          <w:color w:val="131413"/>
          <w:spacing w:val="-1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abnormal</w:t>
      </w:r>
      <w:r>
        <w:rPr>
          <w:rFonts w:ascii="Times New Roman" w:hAnsi="Times New Roman" w:cs="Times New Roman"/>
          <w:color w:val="131413"/>
          <w:spacing w:val="-15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distribution</w:t>
      </w:r>
      <w:r>
        <w:rPr>
          <w:rFonts w:ascii="Times New Roman" w:hAnsi="Times New Roman" w:cs="Times New Roman"/>
          <w:color w:val="131413"/>
          <w:spacing w:val="-1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 xml:space="preserve">were represented as median (Q1, Q3), using Mann-Whitney </w:t>
      </w:r>
      <w:r>
        <w:rPr>
          <w:rFonts w:ascii="Times New Roman" w:hAnsi="Times New Roman" w:cs="Times New Roman"/>
          <w:i/>
          <w:color w:val="131413"/>
          <w:sz w:val="18"/>
          <w:szCs w:val="18"/>
        </w:rPr>
        <w:t>U</w:t>
      </w:r>
      <w:r>
        <w:rPr>
          <w:rFonts w:ascii="Times New Roman" w:hAnsi="Times New Roman" w:cs="Times New Roman"/>
          <w:color w:val="131413"/>
          <w:sz w:val="18"/>
          <w:szCs w:val="18"/>
        </w:rPr>
        <w:t xml:space="preserve"> tests for comparis</w:t>
      </w:r>
      <w:r>
        <w:rPr>
          <w:rFonts w:hint="eastAsia" w:ascii="Times New Roman" w:hAnsi="Times New Roman" w:cs="Times New Roman"/>
          <w:color w:val="131413"/>
          <w:sz w:val="18"/>
          <w:szCs w:val="18"/>
        </w:rPr>
        <w:t>ons</w:t>
      </w:r>
      <w:r>
        <w:rPr>
          <w:rFonts w:ascii="Times New Roman" w:hAnsi="Times New Roman" w:cs="Times New Roman"/>
          <w:color w:val="131413"/>
          <w:sz w:val="18"/>
          <w:szCs w:val="18"/>
        </w:rPr>
        <w:t>.</w:t>
      </w:r>
      <w:r>
        <w:rPr>
          <w:rFonts w:ascii="Times New Roman" w:hAnsi="Times New Roman" w:cs="Times New Roman"/>
          <w:color w:val="131413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Categorical</w:t>
      </w:r>
      <w:r>
        <w:rPr>
          <w:rFonts w:ascii="Times New Roman" w:hAnsi="Times New Roman" w:cs="Times New Roman"/>
          <w:color w:val="131413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variables</w:t>
      </w:r>
      <w:r>
        <w:rPr>
          <w:rFonts w:ascii="Times New Roman" w:hAnsi="Times New Roman" w:cs="Times New Roman"/>
          <w:color w:val="131413"/>
          <w:spacing w:val="-4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were</w:t>
      </w:r>
      <w:r>
        <w:rPr>
          <w:rFonts w:ascii="Times New Roman" w:hAnsi="Times New Roman" w:cs="Times New Roman"/>
          <w:color w:val="131413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presented</w:t>
      </w:r>
      <w:r>
        <w:rPr>
          <w:rFonts w:ascii="Times New Roman" w:hAnsi="Times New Roman" w:cs="Times New Roman"/>
          <w:color w:val="131413"/>
          <w:spacing w:val="-4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as</w:t>
      </w:r>
      <w:r>
        <w:rPr>
          <w:rFonts w:ascii="Times New Roman" w:hAnsi="Times New Roman" w:cs="Times New Roman"/>
          <w:color w:val="131413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N</w:t>
      </w:r>
      <w:r>
        <w:rPr>
          <w:rFonts w:ascii="Times New Roman" w:hAnsi="Times New Roman" w:cs="Times New Roman"/>
          <w:i/>
          <w:color w:val="131413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(%)</w:t>
      </w:r>
      <w:r>
        <w:rPr>
          <w:rFonts w:ascii="Times New Roman" w:hAnsi="Times New Roman" w:cs="Times New Roman"/>
          <w:color w:val="131413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according</w:t>
      </w:r>
      <w:r>
        <w:rPr>
          <w:rFonts w:ascii="Times New Roman" w:hAnsi="Times New Roman" w:cs="Times New Roman"/>
          <w:color w:val="131413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to</w:t>
      </w:r>
      <w:r>
        <w:rPr>
          <w:rFonts w:ascii="Times New Roman" w:hAnsi="Times New Roman" w:cs="Times New Roman"/>
          <w:color w:val="131413"/>
          <w:spacing w:val="-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different</w:t>
      </w:r>
      <w:r>
        <w:rPr>
          <w:rFonts w:ascii="Times New Roman" w:hAnsi="Times New Roman" w:cs="Times New Roman"/>
          <w:color w:val="131413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131413"/>
          <w:sz w:val="18"/>
          <w:szCs w:val="18"/>
        </w:rPr>
        <w:t>levels and used chi-square tests for comparisons. All comparisons were performed between the death and the survival groups.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5274310" cy="2349500"/>
            <wp:effectExtent l="0" t="0" r="13970" b="12700"/>
            <wp:docPr id="24" name="图片 24" descr="E:\11 西南医科大学 胆管癌\20221219_更新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E:\11 西南医科大学 胆管癌\20221219_更新\Figure S1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Times New Roman" w:cs="Times New Roman"/>
          <w:bCs/>
          <w:color w:val="131413"/>
          <w:kern w:val="0"/>
          <w:sz w:val="18"/>
          <w:szCs w:val="18"/>
        </w:rPr>
      </w:pPr>
      <w:r>
        <w:rPr>
          <w:rFonts w:ascii="Times New Roman" w:hAnsi="Times New Roman" w:eastAsia="Times New Roman" w:cs="Times New Roman"/>
          <w:b/>
          <w:bCs/>
          <w:color w:val="131413"/>
          <w:kern w:val="0"/>
          <w:sz w:val="20"/>
          <w:szCs w:val="20"/>
        </w:rPr>
        <w:t xml:space="preserve">Supplementary Figure 1. Forest plots showing the hazard ratio (HR) values of important factors in the (a) univariable analysis and (b) multivariable analysis. </w:t>
      </w:r>
      <w:r>
        <w:rPr>
          <w:rFonts w:ascii="Times New Roman" w:hAnsi="Times New Roman" w:eastAsia="Times New Roman" w:cs="Times New Roman"/>
          <w:bCs/>
          <w:color w:val="131413"/>
          <w:kern w:val="0"/>
          <w:sz w:val="18"/>
          <w:szCs w:val="18"/>
        </w:rPr>
        <w:t>The point represented the mean, and the error bar represented the 95% confidence interval (CI). The risk factors with HR values above 1 were marked in blue, while the protective factors with HR values below 1 were marked in red.</w:t>
      </w:r>
    </w:p>
    <w:p>
      <w:pPr>
        <w:rPr>
          <w:rFonts w:ascii="Times New Roman" w:hAnsi="Times New Roman" w:cs="Times New Roman"/>
          <w:bCs/>
          <w:color w:val="131413"/>
          <w:kern w:val="0"/>
          <w:sz w:val="20"/>
          <w:szCs w:val="20"/>
        </w:rPr>
      </w:pPr>
    </w:p>
    <w:p>
      <w:pPr>
        <w:jc w:val="center"/>
        <w:rPr>
          <w:rFonts w:ascii="Times New Roman" w:hAnsi="Times New Roman" w:cs="Times New Roman"/>
          <w:bCs/>
          <w:color w:val="131413"/>
          <w:kern w:val="0"/>
          <w:sz w:val="20"/>
          <w:szCs w:val="20"/>
        </w:rPr>
      </w:pPr>
      <w:r>
        <w:rPr>
          <w:rFonts w:ascii="Times New Roman" w:hAnsi="Times New Roman" w:cs="Times New Roman"/>
          <w:bCs/>
          <w:color w:val="131413"/>
          <w:kern w:val="0"/>
          <w:sz w:val="20"/>
          <w:szCs w:val="20"/>
        </w:rPr>
        <w:drawing>
          <wp:inline distT="0" distB="0" distL="0" distR="0">
            <wp:extent cx="5274310" cy="5048250"/>
            <wp:effectExtent l="0" t="0" r="13970" b="11430"/>
            <wp:docPr id="25" name="图片 25" descr="E:\11 西南医科大学 胆管癌\20221219_更新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E:\11 西南医科大学 胆管癌\20221219_更新\Figure S2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4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Times New Roman" w:cs="Times New Roman"/>
          <w:bCs/>
          <w:color w:val="131413"/>
          <w:kern w:val="0"/>
          <w:sz w:val="18"/>
          <w:szCs w:val="18"/>
        </w:rPr>
      </w:pPr>
      <w:r>
        <w:rPr>
          <w:rFonts w:hint="eastAsia" w:ascii="Times New Roman" w:hAnsi="Times New Roman" w:eastAsia="Times New Roman" w:cs="Times New Roman"/>
          <w:b/>
          <w:bCs/>
          <w:color w:val="131413"/>
          <w:kern w:val="0"/>
          <w:sz w:val="20"/>
          <w:szCs w:val="20"/>
        </w:rPr>
        <w:t>S</w:t>
      </w:r>
      <w:r>
        <w:rPr>
          <w:rFonts w:ascii="Times New Roman" w:hAnsi="Times New Roman" w:eastAsia="Times New Roman" w:cs="Times New Roman"/>
          <w:b/>
          <w:bCs/>
          <w:color w:val="131413"/>
          <w:kern w:val="0"/>
          <w:sz w:val="20"/>
          <w:szCs w:val="20"/>
        </w:rPr>
        <w:t xml:space="preserve">upplementary Figure 2. Kaplan-Meier (KM) survival curves of eight important factors in influencing the overall survival (OS). </w:t>
      </w:r>
      <w:r>
        <w:rPr>
          <w:rFonts w:ascii="Times New Roman" w:hAnsi="Times New Roman" w:eastAsia="Times New Roman" w:cs="Times New Roman"/>
          <w:b/>
          <w:bCs/>
          <w:color w:val="131413"/>
          <w:kern w:val="0"/>
          <w:sz w:val="18"/>
          <w:szCs w:val="18"/>
        </w:rPr>
        <w:t xml:space="preserve">(a) </w:t>
      </w:r>
      <w:r>
        <w:rPr>
          <w:rFonts w:ascii="Times New Roman" w:hAnsi="Times New Roman" w:eastAsia="Times New Roman" w:cs="Times New Roman"/>
          <w:bCs/>
          <w:color w:val="131413"/>
          <w:kern w:val="0"/>
          <w:sz w:val="18"/>
          <w:szCs w:val="18"/>
        </w:rPr>
        <w:t>Gender and</w:t>
      </w:r>
      <w:r>
        <w:rPr>
          <w:rFonts w:ascii="Times New Roman" w:hAnsi="Times New Roman" w:eastAsia="Times New Roman" w:cs="Times New Roman"/>
          <w:b/>
          <w:bCs/>
          <w:color w:val="131413"/>
          <w:kern w:val="0"/>
          <w:sz w:val="18"/>
          <w:szCs w:val="18"/>
        </w:rPr>
        <w:t xml:space="preserve"> (b) </w:t>
      </w:r>
      <w:r>
        <w:rPr>
          <w:rFonts w:ascii="Times New Roman" w:hAnsi="Times New Roman" w:eastAsia="Times New Roman" w:cs="Times New Roman"/>
          <w:bCs/>
          <w:color w:val="131413"/>
          <w:kern w:val="0"/>
          <w:sz w:val="18"/>
          <w:szCs w:val="18"/>
        </w:rPr>
        <w:t xml:space="preserve">lesion’s location were two categorical variables. </w:t>
      </w:r>
      <w:r>
        <w:rPr>
          <w:rFonts w:ascii="Times New Roman" w:hAnsi="Times New Roman" w:eastAsia="Times New Roman" w:cs="Times New Roman"/>
          <w:b/>
          <w:bCs/>
          <w:color w:val="131413"/>
          <w:kern w:val="0"/>
          <w:sz w:val="18"/>
          <w:szCs w:val="18"/>
        </w:rPr>
        <w:t>(c)</w:t>
      </w:r>
      <w:r>
        <w:rPr>
          <w:rFonts w:ascii="Times New Roman" w:hAnsi="Times New Roman" w:eastAsia="Times New Roman" w:cs="Times New Roman"/>
          <w:bCs/>
          <w:color w:val="131413"/>
          <w:kern w:val="0"/>
          <w:sz w:val="18"/>
          <w:szCs w:val="18"/>
        </w:rPr>
        <w:t xml:space="preserve"> The risk continuous variables for OS, including ALT, DBIL, and tumor size. </w:t>
      </w:r>
      <w:r>
        <w:rPr>
          <w:rFonts w:ascii="Times New Roman" w:hAnsi="Times New Roman" w:eastAsia="Times New Roman" w:cs="Times New Roman"/>
          <w:b/>
          <w:bCs/>
          <w:color w:val="131413"/>
          <w:kern w:val="0"/>
          <w:sz w:val="18"/>
          <w:szCs w:val="18"/>
        </w:rPr>
        <w:t>(d)</w:t>
      </w:r>
      <w:r>
        <w:rPr>
          <w:rFonts w:ascii="Times New Roman" w:hAnsi="Times New Roman" w:eastAsia="Times New Roman" w:cs="Times New Roman"/>
          <w:bCs/>
          <w:color w:val="131413"/>
          <w:kern w:val="0"/>
          <w:sz w:val="18"/>
          <w:szCs w:val="18"/>
        </w:rPr>
        <w:t xml:space="preserve"> The protective variables for OS, including GGT, SIR</w:t>
      </w:r>
      <w:r>
        <w:rPr>
          <w:rFonts w:ascii="Times New Roman" w:hAnsi="Times New Roman" w:eastAsia="Times New Roman" w:cs="Times New Roman"/>
          <w:bCs/>
          <w:color w:val="131413"/>
          <w:kern w:val="0"/>
          <w:sz w:val="18"/>
          <w:szCs w:val="18"/>
          <w:vertAlign w:val="subscript"/>
        </w:rPr>
        <w:t>Liver/Muscle</w:t>
      </w:r>
      <w:r>
        <w:rPr>
          <w:rFonts w:ascii="Times New Roman" w:hAnsi="Times New Roman" w:eastAsia="Times New Roman" w:cs="Times New Roman"/>
          <w:bCs/>
          <w:color w:val="131413"/>
          <w:kern w:val="0"/>
          <w:sz w:val="18"/>
          <w:szCs w:val="18"/>
        </w:rPr>
        <w:t>, and SIR</w:t>
      </w:r>
      <w:r>
        <w:rPr>
          <w:rFonts w:ascii="Times New Roman" w:hAnsi="Times New Roman" w:eastAsia="Times New Roman" w:cs="Times New Roman"/>
          <w:bCs/>
          <w:color w:val="131413"/>
          <w:kern w:val="0"/>
          <w:sz w:val="18"/>
          <w:szCs w:val="18"/>
          <w:vertAlign w:val="subscript"/>
        </w:rPr>
        <w:t>Spleen/Muscle</w:t>
      </w:r>
      <w:r>
        <w:rPr>
          <w:rFonts w:ascii="Times New Roman" w:hAnsi="Times New Roman" w:eastAsia="Times New Roman" w:cs="Times New Roman"/>
          <w:bCs/>
          <w:color w:val="131413"/>
          <w:kern w:val="0"/>
          <w:sz w:val="18"/>
          <w:szCs w:val="18"/>
        </w:rPr>
        <w:t>. All continuous variables were binarized by X-tile software.</w:t>
      </w:r>
    </w:p>
    <w:p>
      <w:pPr>
        <w:rPr>
          <w:rFonts w:ascii="Times New Roman" w:hAnsi="Times New Roman" w:eastAsia="Times New Roman" w:cs="Times New Roman"/>
          <w:bCs/>
          <w:color w:val="131413"/>
          <w:kern w:val="0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bCs/>
          <w:color w:val="131413"/>
          <w:kern w:val="0"/>
          <w:sz w:val="20"/>
          <w:szCs w:val="20"/>
        </w:rPr>
      </w:pPr>
      <w:r>
        <w:rPr>
          <w:rFonts w:ascii="Times New Roman" w:hAnsi="Times New Roman" w:cs="Times New Roman"/>
          <w:bCs/>
          <w:color w:val="131413"/>
          <w:kern w:val="0"/>
          <w:sz w:val="20"/>
          <w:szCs w:val="20"/>
        </w:rPr>
        <w:drawing>
          <wp:inline distT="0" distB="0" distL="0" distR="0">
            <wp:extent cx="2159635" cy="1647825"/>
            <wp:effectExtent l="0" t="0" r="4445" b="13335"/>
            <wp:docPr id="26" name="图片 26" descr="E:\11 西南医科大学 胆管癌\20221219_更新\数据处理\C-index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E:\11 西南医科大学 胆管癌\20221219_更新\数据处理\C-index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4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Times New Roman" w:cs="Times New Roman"/>
          <w:b/>
          <w:bCs/>
          <w:color w:val="131413"/>
          <w:kern w:val="0"/>
          <w:sz w:val="20"/>
          <w:szCs w:val="20"/>
        </w:rPr>
      </w:pPr>
      <w:r>
        <w:rPr>
          <w:rFonts w:hint="eastAsia" w:ascii="Times New Roman" w:hAnsi="Times New Roman" w:eastAsia="Times New Roman" w:cs="Times New Roman"/>
          <w:b/>
          <w:bCs/>
          <w:color w:val="131413"/>
          <w:kern w:val="0"/>
          <w:sz w:val="20"/>
          <w:szCs w:val="20"/>
        </w:rPr>
        <w:t>S</w:t>
      </w:r>
      <w:r>
        <w:rPr>
          <w:rFonts w:ascii="Times New Roman" w:hAnsi="Times New Roman" w:eastAsia="Times New Roman" w:cs="Times New Roman"/>
          <w:b/>
          <w:bCs/>
          <w:color w:val="131413"/>
          <w:kern w:val="0"/>
          <w:sz w:val="20"/>
          <w:szCs w:val="20"/>
        </w:rPr>
        <w:t xml:space="preserve">upplementary Figure 3. Time-dependent concordance index (C-index) curve of the COX proportional hazard model. </w:t>
      </w:r>
    </w:p>
    <w:p>
      <w:pPr>
        <w:rPr>
          <w:rFonts w:ascii="Times New Roman" w:hAnsi="Times New Roman" w:eastAsia="Times New Roman" w:cs="Times New Roman"/>
          <w:b/>
          <w:bCs/>
          <w:color w:val="131413"/>
          <w:kern w:val="0"/>
          <w:sz w:val="20"/>
          <w:szCs w:val="20"/>
        </w:rPr>
      </w:pPr>
    </w:p>
    <w:p>
      <w:pPr>
        <w:spacing w:before="156" w:beforeLines="50"/>
        <w:rPr>
          <w:rFonts w:ascii="Times New Roman" w:hAnsi="Times New Roman" w:cs="Times New Roman"/>
          <w:color w:val="131413"/>
          <w:kern w:val="0"/>
          <w:sz w:val="20"/>
          <w:szCs w:val="20"/>
        </w:rPr>
      </w:pPr>
      <w:r>
        <w:rPr>
          <w:rFonts w:hint="eastAsia" w:ascii="Times New Roman" w:hAnsi="Times New Roman" w:eastAsia="Times New Roman" w:cs="Times New Roman"/>
          <w:b/>
          <w:bCs/>
          <w:color w:val="131413"/>
          <w:kern w:val="0"/>
          <w:sz w:val="20"/>
          <w:szCs w:val="20"/>
        </w:rPr>
        <w:t>S</w:t>
      </w:r>
      <w:r>
        <w:rPr>
          <w:rFonts w:ascii="Times New Roman" w:hAnsi="Times New Roman" w:eastAsia="Times New Roman" w:cs="Times New Roman"/>
          <w:b/>
          <w:bCs/>
          <w:color w:val="131413"/>
          <w:kern w:val="0"/>
          <w:sz w:val="20"/>
          <w:szCs w:val="20"/>
        </w:rPr>
        <w:t xml:space="preserve">upplementary Table 4 Quantitative metrics in cross-validation experiments. </w:t>
      </w:r>
    </w:p>
    <w:tbl>
      <w:tblPr>
        <w:tblStyle w:val="3"/>
        <w:tblW w:w="827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3231"/>
        <w:gridCol w:w="323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DEEAF6" w:themeFill="accent1" w:themeFillTint="33"/>
            <w:noWrap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10-fold cross-validation of 10 times</w:t>
            </w:r>
          </w:p>
        </w:tc>
        <w:tc>
          <w:tcPr>
            <w:tcW w:w="323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5-fold cross-validation of 200 times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AUC at 1 year</w:t>
            </w:r>
          </w:p>
        </w:tc>
        <w:tc>
          <w:tcPr>
            <w:tcW w:w="32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0.833 (0.719, 0.951)</w:t>
            </w:r>
          </w:p>
        </w:tc>
        <w:tc>
          <w:tcPr>
            <w:tcW w:w="323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0.821 (0.752, 0.880)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AUC at 2 year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0.863 (0.731, 0.952)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0.842 (0.779, 0.899)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C-index at 1 year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0.786 (0.683, 0.861)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0.758 (0.706, 0.809)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C-index at 2 year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DEEAF6" w:themeFill="accent1" w:themeFillTint="33"/>
            <w:noWrap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0.755 (0.666, 0.818)</w:t>
            </w:r>
          </w:p>
        </w:tc>
        <w:tc>
          <w:tcPr>
            <w:tcW w:w="3231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20"/>
              </w:rPr>
              <w:t>0.738 (0.694, 0.779)</w:t>
            </w:r>
          </w:p>
        </w:tc>
      </w:tr>
    </w:tbl>
    <w:p>
      <w:pPr>
        <w:spacing w:before="156" w:beforeLines="50"/>
        <w:rPr>
          <w:rFonts w:ascii="Times New Roman" w:hAnsi="Times New Roman" w:cs="Times New Roman"/>
          <w:color w:val="131413"/>
          <w:kern w:val="0"/>
          <w:sz w:val="18"/>
          <w:szCs w:val="18"/>
        </w:rPr>
      </w:pPr>
      <w:r>
        <w:rPr>
          <w:rFonts w:hint="eastAsia" w:ascii="Times New Roman" w:hAnsi="Times New Roman" w:eastAsia="宋体" w:cs="Times New Roman"/>
          <w:bCs/>
          <w:color w:val="131413"/>
          <w:kern w:val="0"/>
          <w:sz w:val="18"/>
          <w:szCs w:val="18"/>
          <w:lang w:val="en-US" w:eastAsia="zh-CN"/>
        </w:rPr>
        <w:t xml:space="preserve">Note: </w:t>
      </w:r>
      <w:r>
        <w:rPr>
          <w:rFonts w:ascii="Times New Roman" w:hAnsi="Times New Roman" w:eastAsia="Times New Roman" w:cs="Times New Roman"/>
          <w:bCs/>
          <w:color w:val="131413"/>
          <w:kern w:val="0"/>
          <w:sz w:val="18"/>
          <w:szCs w:val="18"/>
        </w:rPr>
        <w:t>Continuous variables with abnormal distribution were represented as the median (Q1, Q3)</w:t>
      </w:r>
      <w:r>
        <w:rPr>
          <w:rFonts w:ascii="Times New Roman" w:hAnsi="Times New Roman" w:cs="Times New Roman"/>
          <w:color w:val="131413"/>
          <w:kern w:val="0"/>
          <w:sz w:val="18"/>
          <w:szCs w:val="18"/>
        </w:rPr>
        <w:t>.</w:t>
      </w:r>
    </w:p>
    <w:p>
      <w:pPr>
        <w:rPr>
          <w:rFonts w:ascii="Times New Roman" w:hAnsi="Times New Roman" w:eastAsia="Times New Roman" w:cs="Times New Roman"/>
          <w:b/>
          <w:bCs/>
          <w:color w:val="131413"/>
          <w:kern w:val="0"/>
          <w:sz w:val="18"/>
          <w:szCs w:val="1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B90831"/>
    <w:multiLevelType w:val="multilevel"/>
    <w:tmpl w:val="19B90831"/>
    <w:lvl w:ilvl="0" w:tentative="0">
      <w:start w:val="0"/>
      <w:numFmt w:val="bullet"/>
      <w:lvlText w:val="-"/>
      <w:lvlJc w:val="left"/>
      <w:pPr>
        <w:ind w:left="560" w:hanging="360"/>
      </w:pPr>
      <w:rPr>
        <w:rFonts w:hint="default" w:ascii="Times New Roman" w:hAnsi="Times New Roman" w:eastAsia="宋体" w:cs="Times New Roman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abstractNum w:abstractNumId="1">
    <w:nsid w:val="4BDA2A48"/>
    <w:multiLevelType w:val="multilevel"/>
    <w:tmpl w:val="4BDA2A48"/>
    <w:lvl w:ilvl="0" w:tentative="0">
      <w:start w:val="1"/>
      <w:numFmt w:val="decimal"/>
      <w:pStyle w:val="7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kODY3NmYzYzhlNWYxYWJmMDFlNWU0MDBlZjFjZGEifQ=="/>
  </w:docVars>
  <w:rsids>
    <w:rsidRoot w:val="366C5DC8"/>
    <w:rsid w:val="1480362C"/>
    <w:rsid w:val="1E9364D3"/>
    <w:rsid w:val="26376B87"/>
    <w:rsid w:val="361F1097"/>
    <w:rsid w:val="366C5DC8"/>
    <w:rsid w:val="7EE6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autoSpaceDE w:val="0"/>
      <w:autoSpaceDN w:val="0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5">
    <w:name w:val="主体标题1"/>
    <w:basedOn w:val="1"/>
    <w:next w:val="1"/>
    <w:qFormat/>
    <w:uiPriority w:val="0"/>
    <w:pPr>
      <w:keepNext/>
      <w:keepLines/>
      <w:spacing w:line="360" w:lineRule="auto"/>
      <w:jc w:val="both"/>
      <w:outlineLvl w:val="0"/>
    </w:pPr>
    <w:rPr>
      <w:rFonts w:hint="eastAsia" w:ascii="Times New Roman" w:hAnsi="Times New Roman" w:eastAsia="黑体" w:cstheme="minorBidi"/>
      <w:bCs/>
      <w:kern w:val="44"/>
      <w:sz w:val="21"/>
      <w:szCs w:val="44"/>
    </w:rPr>
  </w:style>
  <w:style w:type="paragraph" w:customStyle="1" w:styleId="6">
    <w:name w:val="正文内容"/>
    <w:basedOn w:val="1"/>
    <w:qFormat/>
    <w:uiPriority w:val="0"/>
    <w:pPr>
      <w:keepNext/>
      <w:keepLines/>
      <w:spacing w:line="360" w:lineRule="auto"/>
      <w:jc w:val="both"/>
      <w:outlineLvl w:val="0"/>
    </w:pPr>
    <w:rPr>
      <w:rFonts w:hint="eastAsia" w:ascii="Times New Roman" w:hAnsi="Times New Roman" w:eastAsia="宋体" w:cstheme="minorBidi"/>
      <w:bCs/>
      <w:kern w:val="44"/>
      <w:sz w:val="21"/>
      <w:szCs w:val="44"/>
    </w:rPr>
  </w:style>
  <w:style w:type="paragraph" w:customStyle="1" w:styleId="7">
    <w:name w:val="样式1"/>
    <w:basedOn w:val="8"/>
    <w:qFormat/>
    <w:uiPriority w:val="0"/>
    <w:pPr>
      <w:numPr>
        <w:ilvl w:val="0"/>
        <w:numId w:val="1"/>
      </w:numPr>
      <w:ind w:left="357" w:hanging="357"/>
      <w:outlineLvl w:val="0"/>
    </w:pPr>
    <w:rPr>
      <w:rFonts w:eastAsiaTheme="minorEastAsia"/>
      <w:b/>
      <w:bCs/>
      <w:color w:val="000000"/>
      <w:sz w:val="20"/>
      <w:szCs w:val="20"/>
    </w:rPr>
  </w:style>
  <w:style w:type="paragraph" w:customStyle="1" w:styleId="8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9">
    <w:name w:val="Table Paragraph"/>
    <w:basedOn w:val="1"/>
    <w:qFormat/>
    <w:uiPriority w:val="0"/>
    <w:pPr>
      <w:autoSpaceDE w:val="0"/>
      <w:autoSpaceDN w:val="0"/>
      <w:spacing w:before="24" w:after="100" w:afterAutospacing="1"/>
      <w:jc w:val="left"/>
    </w:pPr>
    <w:rPr>
      <w:rFonts w:ascii="Times New Roman" w:hAnsi="Times New Roman" w:eastAsia="宋体" w:cs="Times New Roman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734</Words>
  <Characters>3905</Characters>
  <Lines>0</Lines>
  <Paragraphs>0</Paragraphs>
  <TotalTime>1</TotalTime>
  <ScaleCrop>false</ScaleCrop>
  <LinksUpToDate>false</LinksUpToDate>
  <CharactersWithSpaces>4474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2023-01-30T01:49:00Z</dcterms:created>
  <dc:creator>艳艳</dc:creator>
  <cp:lastModifiedBy>艳艳</cp:lastModifiedBy>
  <dcterms:modified xsi:type="dcterms:W3CDTF">2023-01-30T03:17:39Z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4855831A9973448A8BB55CE5EFBFA0DB</vt:lpwstr>
  </property>
</Properties>
</file>