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AdvTT1e10035d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AdvTT1e10035d" w:cs="Times New Roman"/>
          <w:b/>
          <w:bCs/>
          <w:color w:val="000000"/>
          <w:sz w:val="44"/>
          <w:szCs w:val="44"/>
        </w:rPr>
        <w:t>Supporting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Syntheses of MnW</w:t>
      </w:r>
      <w:r>
        <w:rPr>
          <w:rFonts w:hint="default" w:ascii="Times New Roman" w:hAnsi="Times New Roman" w:cs="Times New Roman"/>
          <w:b/>
          <w:bCs/>
          <w:sz w:val="28"/>
          <w:szCs w:val="28"/>
          <w:vertAlign w:val="subscript"/>
        </w:rPr>
        <w:t>12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/TiO</w:t>
      </w:r>
      <w:r>
        <w:rPr>
          <w:rFonts w:hint="default" w:ascii="Times New Roman" w:hAnsi="Times New Roman" w:cs="Times New Roman"/>
          <w:b/>
          <w:bCs/>
          <w:sz w:val="28"/>
          <w:szCs w:val="28"/>
          <w:vertAlign w:val="subscript"/>
        </w:rPr>
        <w:t>2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Microflowers and Nanorods for Photocatalytic H</w:t>
      </w:r>
      <w:r>
        <w:rPr>
          <w:rFonts w:hint="default" w:ascii="Times New Roman" w:hAnsi="Times New Roman" w:cs="Times New Roman"/>
          <w:b/>
          <w:bCs/>
          <w:sz w:val="28"/>
          <w:szCs w:val="28"/>
          <w:vertAlign w:val="subscript"/>
        </w:rPr>
        <w:t>2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Evolution</w:t>
      </w:r>
    </w:p>
    <w:p>
      <w:pPr>
        <w:pStyle w:val="8"/>
        <w:widowControl/>
        <w:jc w:val="center"/>
        <w:rPr>
          <w:lang w:eastAsia="zh-CN"/>
        </w:rPr>
      </w:pPr>
      <w:bookmarkStart w:id="0" w:name="_Hlk10140834"/>
      <w:r>
        <w:rPr>
          <w:rFonts w:hint="eastAsia"/>
          <w:b w:val="0"/>
          <w:bCs/>
          <w:lang w:eastAsia="zh-CN"/>
        </w:rPr>
        <w:t>Ningning Guo</w:t>
      </w:r>
      <w:r>
        <w:rPr>
          <w:rFonts w:hint="eastAsia" w:eastAsiaTheme="minorEastAsia"/>
          <w:b w:val="0"/>
          <w:bCs/>
          <w:vertAlign w:val="superscript"/>
          <w:lang w:eastAsia="zh-CN"/>
        </w:rPr>
        <w:t>1</w:t>
      </w:r>
      <w:r>
        <w:rPr>
          <w:rFonts w:hint="eastAsia"/>
          <w:b w:val="0"/>
          <w:bCs/>
          <w:lang w:eastAsia="zh-CN"/>
        </w:rPr>
        <w:t>, Shixian Liu</w:t>
      </w:r>
      <w:r>
        <w:rPr>
          <w:rFonts w:hint="eastAsia" w:eastAsiaTheme="minorEastAsia"/>
          <w:b w:val="0"/>
          <w:bCs/>
          <w:vertAlign w:val="superscript"/>
          <w:lang w:eastAsia="zh-CN"/>
        </w:rPr>
        <w:t>1</w:t>
      </w:r>
      <w:r>
        <w:rPr>
          <w:rFonts w:hint="eastAsia"/>
          <w:b w:val="0"/>
          <w:bCs/>
          <w:lang w:eastAsia="zh-CN"/>
        </w:rPr>
        <w:t>, Niuniu Zhang</w:t>
      </w:r>
      <w:r>
        <w:rPr>
          <w:rFonts w:hint="eastAsia" w:eastAsiaTheme="minorEastAsia"/>
          <w:b w:val="0"/>
          <w:bCs/>
          <w:vertAlign w:val="superscript"/>
          <w:lang w:eastAsia="zh-CN"/>
        </w:rPr>
        <w:t>1</w:t>
      </w:r>
      <w:r>
        <w:rPr>
          <w:rFonts w:hint="eastAsia"/>
          <w:b w:val="0"/>
          <w:bCs/>
          <w:lang w:eastAsia="zh-CN"/>
        </w:rPr>
        <w:t>, Xia Wu</w:t>
      </w:r>
      <w:r>
        <w:rPr>
          <w:rFonts w:hint="eastAsia" w:eastAsiaTheme="minorEastAsia"/>
          <w:b w:val="0"/>
          <w:bCs/>
          <w:vertAlign w:val="superscript"/>
          <w:lang w:eastAsia="zh-CN"/>
        </w:rPr>
        <w:t>1</w:t>
      </w:r>
      <w:r>
        <w:rPr>
          <w:rFonts w:hint="eastAsia"/>
          <w:b w:val="0"/>
          <w:bCs/>
          <w:lang w:eastAsia="zh-CN"/>
        </w:rPr>
        <w:t>, Guan Wang</w:t>
      </w:r>
      <w:r>
        <w:rPr>
          <w:rFonts w:hint="eastAsia" w:eastAsiaTheme="minorEastAsia"/>
          <w:b w:val="0"/>
          <w:bCs/>
          <w:vertAlign w:val="superscript"/>
          <w:lang w:eastAsia="zh-CN"/>
        </w:rPr>
        <w:t>1</w:t>
      </w:r>
      <w:r>
        <w:rPr>
          <w:rFonts w:hint="eastAsia"/>
          <w:b w:val="0"/>
          <w:bCs/>
          <w:lang w:eastAsia="zh-CN"/>
        </w:rPr>
        <w:t>*</w:t>
      </w:r>
      <w:r>
        <w:rPr>
          <w:rFonts w:hint="eastAsia" w:eastAsiaTheme="minorEastAsia"/>
          <w:b w:val="0"/>
          <w:bCs/>
          <w:lang w:eastAsia="zh-CN"/>
        </w:rPr>
        <w:t>,</w:t>
      </w:r>
      <w:r>
        <w:rPr>
          <w:rFonts w:hint="eastAsia"/>
          <w:b w:val="0"/>
          <w:bCs/>
          <w:lang w:val="en-US" w:eastAsia="zh-CN"/>
        </w:rPr>
        <w:t xml:space="preserve"> </w:t>
      </w:r>
      <w:r>
        <w:rPr>
          <w:rFonts w:hint="eastAsia" w:eastAsiaTheme="minorEastAsia"/>
          <w:b w:val="0"/>
          <w:bCs/>
          <w:lang w:eastAsia="zh-CN"/>
        </w:rPr>
        <w:t>Yuan Zhao</w:t>
      </w:r>
      <w:r>
        <w:rPr>
          <w:rFonts w:hint="eastAsia"/>
          <w:b w:val="0"/>
          <w:bCs/>
          <w:vertAlign w:val="superscript"/>
          <w:lang w:val="en-US" w:eastAsia="zh-CN"/>
        </w:rPr>
        <w:t>2</w:t>
      </w:r>
      <w:r>
        <w:rPr>
          <w:b w:val="0"/>
          <w:bCs/>
          <w:vertAlign w:val="superscript"/>
        </w:rPr>
        <w:t>*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default" w:ascii="Times New Roman" w:hAnsi="Times New Roman" w:cs="Times New Roman" w:eastAsiaTheme="minorEastAsia"/>
          <w:b/>
          <w:kern w:val="0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1"/>
          <w:szCs w:val="21"/>
          <w:vertAlign w:val="superscript"/>
          <w:lang w:eastAsia="en-US"/>
        </w:rPr>
        <w:t>1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Henan Key Laboratory of Polyoxometalate Chemistry,Institute of Molecular and Crystal Engineering,</w:t>
      </w:r>
      <w:r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College</w:t>
      </w:r>
      <w:r>
        <w:rPr>
          <w:rFonts w:hint="default" w:ascii="Times New Roman" w:hAnsi="Times New Roman" w:cs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of Chemistry and Chemical Engineering, Henan University, Kaifeng,</w:t>
      </w:r>
      <w:r>
        <w:rPr>
          <w:rFonts w:hint="default" w:ascii="Times New Roman" w:hAnsi="Times New Roman" w:cs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Henan, China</w:t>
      </w:r>
      <w:r>
        <w:rPr>
          <w:rFonts w:hint="default" w:ascii="Times New Roman" w:hAnsi="Times New Roman" w:cs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E-mail: wangguan@henu.edu.cn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ascii="Times New Roman" w:hAnsi="Times New Roman" w:cs="Times New Roman"/>
          <w:kern w:val="0"/>
          <w:sz w:val="24"/>
          <w:szCs w:val="21"/>
          <w:lang w:eastAsia="en-US"/>
        </w:rPr>
      </w:pPr>
      <w:r>
        <w:rPr>
          <w:rFonts w:hint="default" w:ascii="Times New Roman" w:hAnsi="Times New Roman" w:cs="Times New Roman"/>
          <w:kern w:val="0"/>
          <w:sz w:val="21"/>
          <w:szCs w:val="21"/>
          <w:vertAlign w:val="superscript"/>
          <w:lang w:eastAsia="en-US"/>
        </w:rPr>
        <w:t>2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>The Key Laboratory of Natural Medicine and Immuno-Engineering, Henan University, Kaifeng,</w:t>
      </w:r>
      <w:r>
        <w:rPr>
          <w:rFonts w:hint="default" w:ascii="Times New Roman" w:hAnsi="Times New Roman" w:cs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1"/>
          <w:szCs w:val="21"/>
          <w:lang w:eastAsia="en-US"/>
        </w:rPr>
        <w:t xml:space="preserve">Henan, China. E-mail: 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u w:val="none"/>
          <w:lang w:eastAsia="en-US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u w:val="none"/>
          <w:lang w:eastAsia="en-US"/>
          <w14:textFill>
            <w14:solidFill>
              <w14:schemeClr w14:val="tx1"/>
            </w14:solidFill>
          </w14:textFill>
        </w:rPr>
        <w:instrText xml:space="preserve"> HYPERLINK "mailto:zhaoyuan@henu.edu.cn" </w:instrTex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u w:val="none"/>
          <w:lang w:eastAsia="en-US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u w:val="none"/>
          <w:lang w:eastAsia="en-US"/>
          <w14:textFill>
            <w14:solidFill>
              <w14:schemeClr w14:val="tx1"/>
            </w14:solidFill>
          </w14:textFill>
        </w:rPr>
        <w:t>zhaoyuan@henu.edu.cn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u w:val="none"/>
          <w:lang w:eastAsia="en-US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ascii="Times New Roman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cs="Times New Roman"/>
          <w:kern w:val="2"/>
          <w:sz w:val="21"/>
          <w:szCs w:val="21"/>
          <w:lang w:eastAsia="zh-CN"/>
        </w:rPr>
        <w:t>ORCID iDs:</w:t>
      </w:r>
      <w:r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  <w:t xml:space="preserve"> Guan Wang (</w:t>
      </w:r>
      <w:r>
        <w:rPr>
          <w:rFonts w:ascii="Times New Roman" w:hAnsi="Times New Roman" w:cs="Times New Roman"/>
          <w:kern w:val="2"/>
          <w:sz w:val="21"/>
          <w:szCs w:val="21"/>
          <w:lang w:eastAsia="zh-CN"/>
        </w:rPr>
        <w:t>https://orcid.org/0000-0002-0082-1875</w:t>
      </w:r>
      <w:r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155" w:firstLineChars="550"/>
        <w:jc w:val="both"/>
        <w:textAlignment w:val="auto"/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  <w:t>Yuan Zhao (</w:t>
      </w:r>
      <w:r>
        <w:rPr>
          <w:rFonts w:ascii="Times New Roman" w:hAnsi="Times New Roman" w:cs="Times New Roman"/>
          <w:kern w:val="2"/>
          <w:sz w:val="21"/>
          <w:szCs w:val="21"/>
          <w:lang w:eastAsia="zh-CN"/>
        </w:rPr>
        <w:t>https://orcid.org/0000-0001-6586-4350</w:t>
      </w:r>
      <w:r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eastAsia="zh-CN"/>
        </w:rPr>
        <w:t>Related Control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eastAsia="zh-CN"/>
        </w:rPr>
        <w:t>Synthetic and discussion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ascii="Times New Roman" w:hAnsi="Times New Roman"/>
          <w:kern w:val="0"/>
          <w:sz w:val="21"/>
          <w:szCs w:val="21"/>
          <w:lang w:eastAsia="en-US"/>
        </w:rPr>
      </w:pP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 xml:space="preserve"> changes from microflowers to different morphologies when calcined under different temperatures and atmospheres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Figure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). While calcined at 750℃ in air, microrods replaced microflowers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Figure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b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). When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 xml:space="preserve"> calcined with nitrogen, microflowers and microrods were still obtained at the corresponding temperature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Figure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c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 xml:space="preserve"> and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d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). When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 xml:space="preserve"> calcined at 550℃ in air, each piece of the flowers changed from tortuous to flat although the shape of the flowers was still maintained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Figure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a</w:t>
      </w:r>
      <w:r>
        <w:rPr>
          <w:rFonts w:hint="eastAsia" w:ascii="Times New Roman" w:hAnsi="Times New Roman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 inset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). In contrast to this, after calcination at 550℃ under nitrogen, the microflowers consisted of small rods instead of flat pieces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 xml:space="preserve">Figure 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c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). From the above discussion, it is not difficult to conclude that the calcination temperature and atmosphere have a vital influence on the morphology of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en-US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420" w:firstLineChars="200"/>
        <w:jc w:val="both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In addition, considering the influence of the nature of the counter cations on the morphology of the product</w:t>
      </w:r>
      <w:r>
        <w:rPr>
          <w:rFonts w:hint="eastAsia" w:ascii="Times New Roman" w:hAnsi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color w:val="0000FF"/>
          <w:kern w:val="0"/>
          <w:sz w:val="21"/>
          <w:szCs w:val="21"/>
          <w:lang w:val="en-US" w:eastAsia="zh-CN"/>
        </w:rPr>
        <w:t>[1-2]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, we replaced the </w:t>
      </w:r>
      <w:bookmarkStart w:id="1" w:name="OLE_LINK18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Mn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2+</w:t>
      </w:r>
      <w:bookmarkEnd w:id="1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by </w:t>
      </w:r>
      <w:bookmarkStart w:id="2" w:name="OLE_LINK14"/>
      <w:bookmarkStart w:id="3" w:name="OLE_LINK15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NH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bookmarkEnd w:id="2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K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N(C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H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9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Cs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bookmarkEnd w:id="3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under the same synthetic conditions, and isopolyoxometallate materials with different morphologies were obtained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When NH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or K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or Cs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replaced the Mn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2+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respectively, microplates of different sizes were obtained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a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>b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and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>d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However, when N(C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H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9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was combined with 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nanoparticles were obtained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c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Hence, we have taken into account that Mn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2+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plays a key role in the formation of the flower-like morphology.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210" w:firstLineChars="100"/>
        <w:jc w:val="both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The influence of different manganese salts on the morphology of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has been also explored. When different manganese salts (Mn(Ac)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Mn(ClO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MnSO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Mn(NO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3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 replaced MnCl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respectively, although microflowers were formed, these microflowers were destroyed to a certain extent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S3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). Therefore, the influence of the acid radical anion of these manganese salts on the morphology was discussed. The average open space between the leaves of </w:t>
      </w:r>
      <w:r>
        <w:rPr>
          <w:rFonts w:hint="eastAsia" w:ascii="Times New Roman" w:hAnsi="Times New Roman"/>
          <w:kern w:val="0"/>
          <w:sz w:val="21"/>
          <w:szCs w:val="21"/>
          <w:lang w:val="en-US" w:eastAsia="zh-CN"/>
        </w:rPr>
        <w:t xml:space="preserve">a 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 is 96.55 nm and that of isopolyoxometallate materials in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S3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are 200 nm, 180 nm, 170 nm, </w:t>
      </w:r>
      <w:bookmarkStart w:id="4" w:name="OLE_LINK10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and</w:t>
      </w:r>
      <w:bookmarkEnd w:id="4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140 nm, respectively. The difference in open space is attributed to the steric hindrance of Cl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is smaller than that of </w:t>
      </w:r>
      <w:bookmarkStart w:id="5" w:name="OLE_LINK17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Ac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, </w:t>
      </w:r>
      <w:bookmarkStart w:id="6" w:name="OLE_LINK19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ClO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bookmarkEnd w:id="6"/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</w:t>
      </w:r>
      <w:bookmarkEnd w:id="5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SO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2‒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and NO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3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eastAsia" w:ascii="Times New Roman" w:hAnsi="Times New Roman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color w:val="0000FF"/>
          <w:kern w:val="0"/>
          <w:sz w:val="21"/>
          <w:szCs w:val="21"/>
          <w:lang w:val="en-US" w:eastAsia="zh-CN"/>
        </w:rPr>
        <w:t>[3-5]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. Likewise, as the steric hindrance of </w:t>
      </w:r>
      <w:bookmarkStart w:id="7" w:name="OLE_LINK44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Ac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 ClO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,</w:t>
      </w:r>
      <w:bookmarkEnd w:id="7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and NO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3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decreases in sequence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S4a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>b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, and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>d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), the corresponding open space decreases in sequence, which is consistent with the above-mentioned open space</w:t>
      </w:r>
      <w:bookmarkStart w:id="12" w:name="_GoBack"/>
      <w:bookmarkEnd w:id="12"/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. Since the spatial structure of ClO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and SO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eastAsia="zh-CN"/>
        </w:rPr>
        <w:t>2‒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are similar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S4b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and 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>c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), the corresponding open space are almost the same. Hence, the strategy is proposed to be a general method to endow POM based nano/micro materials with new structures and new functions.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210" w:firstLineChars="100"/>
        <w:jc w:val="both"/>
        <w:textAlignment w:val="auto"/>
        <w:rPr>
          <w:rFonts w:ascii="Times New Roman" w:hAnsi="Times New Roman"/>
          <w:kern w:val="0"/>
          <w:sz w:val="21"/>
          <w:szCs w:val="21"/>
          <w:lang w:eastAsia="en-US"/>
        </w:rPr>
      </w:pP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Besides, the influence of adding different amounts of PEG4000 on the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microflowers have been also tested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S5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When small amount of PEG4000 (0.025 g) is added, the morphology of the microflowers is still maintained; with the increase of PEG4000 (0.05 g), the microflowers are somewhat damaged; but when too much PEG4000 is added (1 g), the microflowers are damaged more seriously. From the above results, it can be concluded that the chain-like PEG4000 has a negative impact on the structure of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microflowers. In other words,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microflowers would not be changed to one dimensional structure by means of PEG4000.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210" w:firstLineChars="100"/>
        <w:jc w:val="both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In addition, the effect of different stirring times on the appearance of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microflowers has been also measured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It is not difficult to see that the microflowers are destroyed with the extension of the stirring time. Beyond that, the influence of different amounts of MnCl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on the morphology of MnW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12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microflowers has been also explored (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en-US"/>
        </w:rPr>
        <w:t>Figure</w:t>
      </w:r>
      <w:r>
        <w:rPr>
          <w:rFonts w:hint="default" w:ascii="Times New Roman" w:hAnsi="Times New Roman"/>
          <w:color w:val="FF0000"/>
          <w:kern w:val="0"/>
          <w:sz w:val="21"/>
          <w:szCs w:val="21"/>
          <w:lang w:eastAsia="zh-CN"/>
        </w:rPr>
        <w:t xml:space="preserve"> S</w:t>
      </w:r>
      <w:r>
        <w:rPr>
          <w:rFonts w:hint="eastAsia" w:ascii="Times New Roman" w:hAnsi="Times New Roman"/>
          <w:color w:val="FF0000"/>
          <w:kern w:val="0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). When the amount of MnCl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is too little or too much, it is not conducive to the formation of microflowers. Only when the stirring time and the amount of MnCl</w:t>
      </w:r>
      <w:r>
        <w:rPr>
          <w:rFonts w:hint="default" w:ascii="Times New Roman" w:hAnsi="Times New Roman"/>
          <w:kern w:val="0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 xml:space="preserve"> are appropriate, can it contribute to the formation of unbroken microflowers.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 w:ascii="Times New Roman" w:hAnsi="Times New Roman"/>
          <w:b/>
          <w:bCs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kern w:val="0"/>
          <w:sz w:val="28"/>
          <w:szCs w:val="28"/>
          <w:lang w:eastAsia="zh-CN"/>
        </w:rPr>
        <w:t>Reference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 Guo, N.N.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Liu, N.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Meng, R.R.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Song, T.T.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Lu, Y.H.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Wang, G.</w:t>
      </w:r>
      <w:r>
        <w:rPr>
          <w:rFonts w:hint="eastAsia" w:cs="Times New Roman"/>
          <w:sz w:val="21"/>
          <w:szCs w:val="21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2020</w:t>
      </w:r>
      <w:r>
        <w:rPr>
          <w:rFonts w:hint="eastAsia" w:cs="Times New Roman"/>
          <w:sz w:val="21"/>
          <w:szCs w:val="21"/>
          <w:lang w:val="en-US" w:eastAsia="zh-CN"/>
        </w:rPr>
        <w:t>).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Syntheses and multi-emissive properties of CeF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:Tb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3+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-doped phosphotungstate solid nanospheres. Inorganic and Nano-Metal Chemistry 50</w:t>
      </w:r>
      <w:r>
        <w:rPr>
          <w:rFonts w:hint="eastAsia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444-452.   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0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[2] Meng, R.R.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He, X.M.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Chen, J.J.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Yang, J.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Wang, G.</w:t>
      </w:r>
      <w:r>
        <w:rPr>
          <w:rFonts w:hint="eastAsia" w:cs="Times New Roman"/>
          <w:sz w:val="21"/>
          <w:szCs w:val="21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2019</w:t>
      </w:r>
      <w:r>
        <w:rPr>
          <w:rFonts w:hint="eastAsia" w:cs="Times New Roman"/>
          <w:sz w:val="21"/>
          <w:szCs w:val="21"/>
          <w:lang w:val="en-US" w:eastAsia="zh-CN"/>
        </w:rPr>
        <w:t>).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Silver and sodium fluorescein co-doped phosphomolybdate microspindle: synthesis and spectroscopic properties. Journal of Cluster Science 30</w:t>
      </w:r>
      <w:r>
        <w:rPr>
          <w:rFonts w:hint="eastAsia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 141–149.      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0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</w:t>
      </w:r>
      <w:r>
        <w:rPr>
          <w:rFonts w:hint="eastAsia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 Thuijs, A.E.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Christou, G.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Abboud, K.A.</w:t>
      </w:r>
      <w:r>
        <w:rPr>
          <w:rFonts w:hint="eastAsia" w:cs="Times New Roman"/>
          <w:sz w:val="21"/>
          <w:szCs w:val="21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2015</w:t>
      </w:r>
      <w:r>
        <w:rPr>
          <w:rFonts w:hint="eastAsia" w:cs="Times New Roman"/>
          <w:sz w:val="21"/>
          <w:szCs w:val="21"/>
          <w:lang w:val="en-US" w:eastAsia="zh-CN"/>
        </w:rPr>
        <w:t>).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[Mn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CMe)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(H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O)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]: facile synthesis of a new type of Mn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complex. Acta Cryst. C</w:t>
      </w:r>
      <w:r>
        <w:rPr>
          <w:rFonts w:hint="eastAsia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71</w:t>
      </w:r>
      <w:r>
        <w:rPr>
          <w:rFonts w:hint="eastAsia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185–187.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0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</w:t>
      </w:r>
      <w:r>
        <w:rPr>
          <w:rFonts w:hint="eastAsia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 Netzsch, P.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Höppe, H.A. </w:t>
      </w:r>
      <w:r>
        <w:rPr>
          <w:rFonts w:hint="eastAsia" w:cs="Times New Roman"/>
          <w:sz w:val="21"/>
          <w:szCs w:val="21"/>
          <w:lang w:val="en-US" w:eastAsia="zh-CN"/>
        </w:rPr>
        <w:t>(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2020</w:t>
      </w:r>
      <w:r>
        <w:rPr>
          <w:rFonts w:hint="eastAsia" w:cs="Times New Roman"/>
          <w:sz w:val="21"/>
          <w:szCs w:val="21"/>
          <w:lang w:val="en-US" w:eastAsia="zh-CN"/>
        </w:rPr>
        <w:t xml:space="preserve">).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Synthesis and characterisation of the chain borosulfates (NH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[B(SO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 and Sr[B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(SO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]. Zeitschrift für anorganische und allgemeine Chemie 18</w:t>
      </w:r>
      <w:r>
        <w:rPr>
          <w:rFonts w:hint="eastAsia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1563-1569.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firstLine="0"/>
        <w:jc w:val="both"/>
        <w:textAlignment w:val="auto"/>
        <w:rPr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</w:t>
      </w:r>
      <w:r>
        <w:rPr>
          <w:rFonts w:hint="eastAsia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] Nelyubina, Y.V.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Lyssenko, K.A.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Golovanov, D.G.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Antipin, M.Y.</w:t>
      </w:r>
      <w:r>
        <w:rPr>
          <w:rFonts w:hint="eastAsia" w:cs="Times New Roman"/>
          <w:sz w:val="21"/>
          <w:szCs w:val="21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2007</w:t>
      </w:r>
      <w:r>
        <w:rPr>
          <w:rFonts w:hint="eastAsia" w:cs="Times New Roman"/>
          <w:sz w:val="21"/>
          <w:szCs w:val="21"/>
          <w:lang w:val="en-US" w:eastAsia="zh-CN"/>
        </w:rPr>
        <w:t>).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–</w:t>
      </w:r>
      <w:r>
        <w:rPr>
          <w:rFonts w:hint="eastAsia" w:ascii="Palatino Linotype" w:hAnsi="Palatino Linotype" w:eastAsia="宋体"/>
          <w:snapToGrid w:val="0"/>
          <w:sz w:val="21"/>
          <w:szCs w:val="21"/>
          <w:lang w:val="en-US" w:eastAsia="zh-CN" w:bidi="en-US"/>
        </w:rPr>
        <w:t>…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and 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val="en-US" w:eastAsia="zh-CN"/>
        </w:rPr>
        <w:t>–</w:t>
      </w:r>
      <w:r>
        <w:rPr>
          <w:rFonts w:hint="eastAsia" w:ascii="Palatino Linotype" w:hAnsi="Palatino Linotype" w:eastAsia="宋体"/>
          <w:snapToGrid w:val="0"/>
          <w:sz w:val="21"/>
          <w:szCs w:val="21"/>
          <w:lang w:val="en-US" w:eastAsia="zh-CN" w:bidi="en-US"/>
        </w:rPr>
        <w:t>…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π interactions in the crystal of urea nitrate. CrystEngComm 9</w:t>
      </w:r>
      <w:r>
        <w:rPr>
          <w:rFonts w:hint="eastAsia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991–996.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cs="Times New Roman"/>
          <w:kern w:val="2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b/>
          <w:bCs/>
          <w:iCs/>
        </w:rPr>
      </w:pPr>
    </w:p>
    <w:p>
      <w:pPr>
        <w:pStyle w:val="2"/>
        <w:widowControl/>
        <w:numPr>
          <w:ilvl w:val="0"/>
          <w:numId w:val="0"/>
        </w:numPr>
        <w:jc w:val="lef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  <w:bCs/>
          <w:iCs/>
        </w:rPr>
        <w:t>Figure captions:</w:t>
      </w:r>
      <w:r>
        <w:rPr>
          <w:rFonts w:ascii="Times New Roman" w:hAnsi="Times New Roman" w:cs="Times New Roman"/>
          <w:iCs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Scheme </w:t>
      </w:r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 The synthetic strategy of MnW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 microflower.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Scheme </w:t>
      </w:r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The summary of morphology changes based on [H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W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40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]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eastAsia="zh-CN"/>
        </w:rPr>
        <w:t>6–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in this work.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 xml:space="preserve"> (a–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d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SEM images of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MnW</w:t>
      </w:r>
      <w:r>
        <w:rPr>
          <w:rFonts w:hint="eastAsia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calcined under different temperatures and atmospheres for 2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hrs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: (a)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air-550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(b)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air-750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(c)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nitrogen-550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(d)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nitrogen-750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(a–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when </w:t>
      </w:r>
      <w:r>
        <w:rPr>
          <w:rFonts w:hint="default" w:ascii="Times New Roman" w:hAnsi="Times New Roman" w:eastAsia="宋体" w:cs="Times New Roman"/>
          <w:sz w:val="21"/>
          <w:szCs w:val="21"/>
        </w:rPr>
        <w:t>MnCl</w:t>
      </w:r>
      <w:r>
        <w:rPr>
          <w:rFonts w:hint="default" w:ascii="Times New Roman" w:hAnsi="Times New Roman" w:eastAsia="宋体" w:cs="Times New Roman"/>
          <w:sz w:val="21"/>
          <w:szCs w:val="21"/>
          <w:vertAlign w:val="subscript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</w:rPr>
        <w:t>·4H</w:t>
      </w:r>
      <w:r>
        <w:rPr>
          <w:rFonts w:hint="default" w:ascii="Times New Roman" w:hAnsi="Times New Roman" w:eastAsia="宋体" w:cs="Times New Roman"/>
          <w:sz w:val="21"/>
          <w:szCs w:val="21"/>
          <w:vertAlign w:val="subscript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</w:rPr>
        <w:t>O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was </w:t>
      </w:r>
      <w:r>
        <w:rPr>
          <w:rFonts w:hint="default" w:ascii="Times New Roman" w:hAnsi="Times New Roman" w:cs="Times New Roman"/>
          <w:sz w:val="21"/>
          <w:szCs w:val="21"/>
        </w:rPr>
        <w:t xml:space="preserve">replaced by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Cl, </w:t>
      </w:r>
      <w:r>
        <w:rPr>
          <w:rFonts w:hint="default" w:ascii="Times New Roman" w:hAnsi="Times New Roman" w:cs="Times New Roman"/>
          <w:sz w:val="21"/>
          <w:szCs w:val="21"/>
        </w:rPr>
        <w:t>K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Cl, N(C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9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Br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CsCl, respectively.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 S</w:t>
      </w: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(a–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SEM images of isopolyoxometallate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materials with different morphologies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when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Cl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was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replaced by 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(Ac)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(ClO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SO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(NO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, respectively.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eastAsia="zh-CN"/>
        </w:rPr>
        <w:t>S</w:t>
      </w:r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 xml:space="preserve"> (a–d) The ball-and-stick models of Ac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ClO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SO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2–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5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(a–c) SEM images of isopolyoxometallate materials with different morphologies when different amounts of PEG4000 were added: a) 0.025 g; b) 0.05 g; c) 1 g.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(a–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with different stirring times: </w:t>
      </w:r>
      <w:r>
        <w:rPr>
          <w:rFonts w:hint="default" w:ascii="Times New Roman" w:hAnsi="Times New Roman" w:cs="Times New Roman"/>
          <w:sz w:val="21"/>
          <w:szCs w:val="21"/>
        </w:rPr>
        <w:t>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 10 min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b)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1 </w:t>
      </w:r>
      <w:r>
        <w:rPr>
          <w:rFonts w:hint="default" w:ascii="Times New Roman" w:hAnsi="Times New Roman" w:eastAsia="AdvTT5843c571" w:cs="Times New Roman"/>
          <w:color w:val="231F20"/>
          <w:sz w:val="21"/>
          <w:szCs w:val="21"/>
        </w:rPr>
        <w:t>hr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c)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2 </w:t>
      </w:r>
      <w:r>
        <w:rPr>
          <w:rFonts w:hint="default" w:ascii="Times New Roman" w:hAnsi="Times New Roman" w:eastAsia="AdvTT5843c571" w:cs="Times New Roman"/>
          <w:color w:val="231F20"/>
          <w:sz w:val="21"/>
          <w:szCs w:val="21"/>
        </w:rPr>
        <w:t>hrs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and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with different amount of MnCl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1"/>
          <w:szCs w:val="21"/>
        </w:rPr>
        <w:t>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 1 mmol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b) 4 mmol.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231F20"/>
          <w:sz w:val="21"/>
          <w:szCs w:val="21"/>
        </w:rPr>
        <w:t>T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he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EDX spectrum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and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element mapping o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f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microflower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9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231F20"/>
          <w:sz w:val="21"/>
          <w:szCs w:val="21"/>
        </w:rPr>
        <w:t>T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he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EDX spectrum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and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element mapping o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f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10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(a-c) </w:t>
      </w:r>
      <w:r>
        <w:rPr>
          <w:rFonts w:hint="default" w:ascii="Times New Roman" w:hAnsi="Times New Roman" w:cs="Times New Roman"/>
          <w:sz w:val="21"/>
          <w:szCs w:val="21"/>
        </w:rPr>
        <w:t>The XPS spectra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microflower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s:(a) Mn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(b) 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4f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(c) Ti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(d-f) </w:t>
      </w:r>
      <w:r>
        <w:rPr>
          <w:rFonts w:hint="default" w:ascii="Times New Roman" w:hAnsi="Times New Roman" w:cs="Times New Roman"/>
          <w:sz w:val="21"/>
          <w:szCs w:val="21"/>
        </w:rPr>
        <w:t>The XPS spectra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: (d) Mn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(e) 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4f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(f) Ti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11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sz w:val="21"/>
          <w:szCs w:val="21"/>
        </w:rPr>
        <w:t xml:space="preserve">he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XRD pattern</w:t>
      </w:r>
      <w:r>
        <w:rPr>
          <w:rFonts w:hint="default" w:ascii="Times New Roman" w:hAnsi="Times New Roman" w:cs="Times New Roman"/>
          <w:sz w:val="21"/>
          <w:szCs w:val="21"/>
        </w:rPr>
        <w:t xml:space="preserve">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before and after three cycles of </w:t>
      </w:r>
      <w:r>
        <w:rPr>
          <w:rFonts w:hint="default" w:ascii="Times New Roman" w:hAnsi="Times New Roman" w:cs="Times New Roman"/>
          <w:sz w:val="21"/>
          <w:szCs w:val="21"/>
        </w:rPr>
        <w:t>photocatalytic hydrogen generation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widowControl/>
        <w:spacing w:before="120" w:after="240"/>
        <w:jc w:val="both"/>
        <w:rPr>
          <w:rFonts w:hint="eastAsia" w:ascii="Times New Roman" w:hAnsi="Times New Roman"/>
          <w:kern w:val="0"/>
          <w:sz w:val="21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1"/>
          <w:szCs w:val="21"/>
          <w:lang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</w:p>
    <w:p>
      <w:pPr>
        <w:jc w:val="left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3723640" cy="2551430"/>
            <wp:effectExtent l="0" t="0" r="10160" b="1270"/>
            <wp:docPr id="2" name="图片 2" descr="合成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合成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364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bookmarkStart w:id="8" w:name="OLE_LINK25"/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Scheme </w:t>
      </w:r>
      <w:bookmarkEnd w:id="8"/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 The synthetic strategy of </w:t>
      </w:r>
      <w:bookmarkStart w:id="9" w:name="OLE_LINK12"/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Mn</w:t>
      </w:r>
      <w:bookmarkEnd w:id="9"/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W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 microflower.</w:t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4319905" cy="2112645"/>
            <wp:effectExtent l="0" t="0" r="4445" b="1905"/>
            <wp:docPr id="5" name="图片 5" descr="电镜汇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电镜汇总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11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Scheme </w:t>
      </w:r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The summary of morphology changes based on [H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W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40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]</w:t>
      </w:r>
      <w:r>
        <w:rPr>
          <w:rFonts w:hint="default" w:ascii="Times New Roman" w:hAnsi="Times New Roman" w:cs="Times New Roman"/>
          <w:sz w:val="21"/>
          <w:szCs w:val="21"/>
          <w:vertAlign w:val="superscript"/>
          <w:lang w:eastAsia="zh-CN"/>
        </w:rPr>
        <w:t>6–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in this work.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3239770" cy="2676525"/>
            <wp:effectExtent l="0" t="0" r="17780" b="9525"/>
            <wp:docPr id="14" name="图片 14" descr="4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4合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/>
        <w:jc w:val="center"/>
        <w:rPr>
          <w:rFonts w:hint="eastAsia" w:ascii="Times New Roman" w:hAnsi="Times New Roman"/>
          <w:kern w:val="0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S1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 xml:space="preserve"> (a–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d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)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SEM images of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MnW</w:t>
      </w:r>
      <w:r>
        <w:rPr>
          <w:rFonts w:hint="eastAsia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12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calcined under different temperatures and atmospheres for 2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hrs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: (a)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air-550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(b)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air-750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(c)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nitrogen-550 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; (d)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: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 xml:space="preserve"> nitrogen-750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>℃</w:t>
      </w:r>
      <w:r>
        <w:rPr>
          <w:rFonts w:hint="eastAsia" w:ascii="Times New Roman" w:hAnsi="Times New Roman"/>
          <w:kern w:val="0"/>
          <w:sz w:val="21"/>
          <w:szCs w:val="21"/>
          <w:lang w:eastAsia="zh-CN"/>
        </w:rPr>
        <w:t>.</w:t>
      </w:r>
    </w:p>
    <w:p>
      <w:pPr>
        <w:widowControl/>
        <w:spacing w:before="120" w:after="24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99815" cy="2704465"/>
            <wp:effectExtent l="0" t="0" r="635" b="635"/>
            <wp:docPr id="3" name="图片 3" descr="gn311-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n311-3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/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(a–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when </w:t>
      </w:r>
      <w:r>
        <w:rPr>
          <w:rFonts w:hint="default" w:ascii="Times New Roman" w:hAnsi="Times New Roman" w:eastAsia="宋体" w:cs="Times New Roman"/>
          <w:sz w:val="21"/>
          <w:szCs w:val="21"/>
        </w:rPr>
        <w:t>MnCl</w:t>
      </w:r>
      <w:r>
        <w:rPr>
          <w:rFonts w:hint="default" w:ascii="Times New Roman" w:hAnsi="Times New Roman" w:eastAsia="宋体" w:cs="Times New Roman"/>
          <w:sz w:val="21"/>
          <w:szCs w:val="21"/>
          <w:vertAlign w:val="subscript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</w:rPr>
        <w:t>·4H</w:t>
      </w:r>
      <w:r>
        <w:rPr>
          <w:rFonts w:hint="default" w:ascii="Times New Roman" w:hAnsi="Times New Roman" w:eastAsia="宋体" w:cs="Times New Roman"/>
          <w:sz w:val="21"/>
          <w:szCs w:val="21"/>
          <w:vertAlign w:val="subscript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</w:rPr>
        <w:t>O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was </w:t>
      </w:r>
      <w:r>
        <w:rPr>
          <w:rFonts w:hint="default" w:ascii="Times New Roman" w:hAnsi="Times New Roman" w:cs="Times New Roman"/>
          <w:sz w:val="21"/>
          <w:szCs w:val="21"/>
        </w:rPr>
        <w:t xml:space="preserve">replaced by </w:t>
      </w:r>
      <w:bookmarkStart w:id="10" w:name="OLE_LINK4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Cl, </w:t>
      </w:r>
      <w:r>
        <w:rPr>
          <w:rFonts w:hint="default" w:ascii="Times New Roman" w:hAnsi="Times New Roman" w:cs="Times New Roman"/>
          <w:sz w:val="21"/>
          <w:szCs w:val="21"/>
        </w:rPr>
        <w:t>K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Cl, N(C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9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Br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CsCl,</w:t>
      </w:r>
      <w:bookmarkEnd w:id="10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respectively.</w:t>
      </w:r>
    </w:p>
    <w:p>
      <w:pPr>
        <w:widowControl/>
        <w:spacing w:before="120" w:after="240"/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widowControl/>
        <w:spacing w:before="120" w:after="240"/>
        <w:jc w:val="center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widowControl/>
        <w:spacing w:before="120" w:after="24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3239770" cy="2436495"/>
            <wp:effectExtent l="0" t="0" r="17780" b="1905"/>
            <wp:docPr id="6" name="图片 6" descr="不同Mn2+四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不同Mn2+四合一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/>
        <w:jc w:val="center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 S</w:t>
      </w: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(a–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SEM images of isopolyoxometallate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materials with different morphologies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when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Cl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 was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replaced by 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(Ac)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(ClO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SO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 xml:space="preserve">,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Mn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(NO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)</w:t>
      </w:r>
      <w:r>
        <w:rPr>
          <w:rFonts w:hint="default" w:ascii="Times New Roman" w:hAnsi="Times New Roman" w:cs="Times New Roman" w:eastAsiaTheme="minorEastAsia"/>
          <w:kern w:val="0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, respectively.</w:t>
      </w:r>
    </w:p>
    <w:p>
      <w:pPr>
        <w:widowControl/>
        <w:spacing w:before="120" w:after="24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3239770" cy="2737485"/>
            <wp:effectExtent l="0" t="0" r="17780" b="5715"/>
            <wp:docPr id="4" name="图片 4" descr="阴离子4合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阴离子4合1-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val="en-US" w:eastAsia="zh-CN"/>
        </w:rPr>
      </w:pP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eastAsia="zh-CN"/>
        </w:rPr>
        <w:t>S</w:t>
      </w:r>
      <w:r>
        <w:rPr>
          <w:rFonts w:hint="eastAsia" w:ascii="Times New Roman" w:hAnsi="Times New Roman"/>
          <w:b/>
          <w:bCs/>
          <w:color w:val="FF0000"/>
          <w:kern w:val="0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 xml:space="preserve"> (a–d) The ball-and-stick models of Ac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ClO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SO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4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2–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, NO</w:t>
      </w:r>
      <w:r>
        <w:rPr>
          <w:rFonts w:hint="default" w:ascii="Times New Roman" w:hAnsi="Times New Roman" w:eastAsiaTheme="minorEastAsia" w:cstheme="minorBidi"/>
          <w:kern w:val="0"/>
          <w:sz w:val="21"/>
          <w:szCs w:val="21"/>
          <w:vertAlign w:val="subscript"/>
          <w:lang w:val="en-US" w:eastAsia="zh-CN" w:bidi="ar-SA"/>
        </w:rPr>
        <w:t>3</w:t>
      </w:r>
      <w:r>
        <w:rPr>
          <w:rFonts w:hint="default" w:ascii="Times New Roman" w:hAnsi="Times New Roman"/>
          <w:kern w:val="0"/>
          <w:sz w:val="21"/>
          <w:szCs w:val="21"/>
          <w:vertAlign w:val="superscript"/>
          <w:lang w:val="en-US" w:eastAsia="zh-CN"/>
        </w:rPr>
        <w:t>–</w:t>
      </w:r>
      <w:r>
        <w:rPr>
          <w:rFonts w:hint="default" w:ascii="Times New Roman" w:hAnsi="Times New Roman"/>
          <w:kern w:val="0"/>
          <w:sz w:val="21"/>
          <w:szCs w:val="21"/>
          <w:lang w:val="en-US" w:eastAsia="zh-CN"/>
        </w:rPr>
        <w:t>.</w:t>
      </w: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val="en-US" w:eastAsia="zh-CN"/>
        </w:rPr>
      </w:pP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val="en-US" w:eastAsia="zh-CN"/>
        </w:rPr>
      </w:pPr>
    </w:p>
    <w:p>
      <w:pPr>
        <w:widowControl/>
        <w:spacing w:before="120" w:after="24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4319905" cy="1066800"/>
            <wp:effectExtent l="0" t="0" r="4445" b="0"/>
            <wp:docPr id="7" name="图片 7" descr="三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三合一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eastAsia="zh-CN"/>
        </w:rPr>
      </w:pP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5</w:t>
      </w:r>
      <w:r>
        <w:rPr>
          <w:rFonts w:ascii="Times New Roman" w:hAnsi="Times New Roman"/>
          <w:kern w:val="0"/>
          <w:sz w:val="21"/>
          <w:szCs w:val="21"/>
          <w:lang w:eastAsia="zh-CN"/>
        </w:rPr>
        <w:t xml:space="preserve"> </w:t>
      </w:r>
      <w:r>
        <w:rPr>
          <w:rFonts w:hint="default" w:ascii="Times New Roman" w:hAnsi="Times New Roman"/>
          <w:kern w:val="0"/>
          <w:sz w:val="21"/>
          <w:szCs w:val="21"/>
          <w:lang w:eastAsia="zh-CN"/>
        </w:rPr>
        <w:t>(a–c) SEM images of isopolyoxometallate materials with different morphologies when different amounts of PEG4000 were added: a) 0.025 g; b) 0.05 g; c) 1 g.</w:t>
      </w: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val="en-US" w:eastAsia="zh-CN"/>
        </w:rPr>
      </w:pPr>
    </w:p>
    <w:p>
      <w:pPr>
        <w:widowControl/>
        <w:spacing w:before="120" w:after="240"/>
        <w:jc w:val="center"/>
        <w:rPr>
          <w:rFonts w:hint="default" w:ascii="Times New Roman" w:hAnsi="Times New Roman"/>
          <w:kern w:val="0"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319905" cy="1062990"/>
            <wp:effectExtent l="0" t="0" r="4445" b="3810"/>
            <wp:docPr id="8" name="图片 8" descr="三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三合一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(a–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with different stirring times: </w:t>
      </w:r>
      <w:r>
        <w:rPr>
          <w:rFonts w:hint="default" w:ascii="Times New Roman" w:hAnsi="Times New Roman" w:cs="Times New Roman"/>
          <w:sz w:val="21"/>
          <w:szCs w:val="21"/>
        </w:rPr>
        <w:t>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 10 min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b)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1 </w:t>
      </w:r>
      <w:r>
        <w:rPr>
          <w:rFonts w:hint="default" w:ascii="Times New Roman" w:hAnsi="Times New Roman" w:eastAsia="AdvTT5843c571" w:cs="Times New Roman"/>
          <w:color w:val="231F20"/>
          <w:sz w:val="21"/>
          <w:szCs w:val="21"/>
        </w:rPr>
        <w:t>hr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c)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2 </w:t>
      </w:r>
      <w:r>
        <w:rPr>
          <w:rFonts w:hint="default" w:ascii="Times New Roman" w:hAnsi="Times New Roman" w:eastAsia="AdvTT5843c571" w:cs="Times New Roman"/>
          <w:color w:val="231F20"/>
          <w:sz w:val="21"/>
          <w:szCs w:val="21"/>
        </w:rPr>
        <w:t>hrs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3599815" cy="1332230"/>
            <wp:effectExtent l="0" t="0" r="635" b="1270"/>
            <wp:docPr id="9" name="图片 9" descr="二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二合一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(a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and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 images of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isopolyoxometallate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materials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with different morphologies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with </w:t>
      </w:r>
      <w:bookmarkStart w:id="11" w:name="OLE_LINK42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different amount of MnCl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1"/>
          <w:szCs w:val="21"/>
        </w:rPr>
        <w:t>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) 1 mmol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b) 4 mmol</w:t>
      </w:r>
      <w:bookmarkEnd w:id="11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3599815" cy="2715895"/>
            <wp:effectExtent l="0" t="0" r="635" b="8255"/>
            <wp:docPr id="11" name="图片 11" descr="609-EDX-mapping-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09-EDX-mapping-合一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1" w:firstLineChars="100"/>
        <w:jc w:val="center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231F20"/>
          <w:sz w:val="21"/>
          <w:szCs w:val="21"/>
        </w:rPr>
        <w:t>T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he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EDX spectrum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and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element mapping o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f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microflower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center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center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3599815" cy="2662555"/>
            <wp:effectExtent l="0" t="0" r="635" b="4445"/>
            <wp:docPr id="12" name="图片 12" descr="615-EDX-ma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15-EDX-mappi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9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231F20"/>
          <w:sz w:val="21"/>
          <w:szCs w:val="21"/>
        </w:rPr>
        <w:t>T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he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EDX spectrum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and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999035f4" w:cs="Times New Roman"/>
          <w:color w:val="000000"/>
          <w:sz w:val="21"/>
          <w:szCs w:val="21"/>
        </w:rPr>
        <w:t>element mapping o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f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319905" cy="3302000"/>
            <wp:effectExtent l="0" t="0" r="4445" b="12700"/>
            <wp:docPr id="1" name="图片 1" descr="XPS-MnW12-TiO2-花棒-合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PS-MnW12-TiO2-花棒-合一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10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(a-c) </w:t>
      </w:r>
      <w:r>
        <w:rPr>
          <w:rFonts w:hint="default" w:ascii="Times New Roman" w:hAnsi="Times New Roman" w:cs="Times New Roman"/>
          <w:sz w:val="21"/>
          <w:szCs w:val="21"/>
        </w:rPr>
        <w:t>The XPS spectra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eastAsia="zh-CN"/>
        </w:rPr>
        <w:t>microflower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s:(a) Mn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(b) 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4f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(c) Ti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; (d-f) </w:t>
      </w:r>
      <w:r>
        <w:rPr>
          <w:rFonts w:hint="default" w:ascii="Times New Roman" w:hAnsi="Times New Roman" w:cs="Times New Roman"/>
          <w:sz w:val="21"/>
          <w:szCs w:val="21"/>
        </w:rPr>
        <w:t>The XPS spectra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: (d) Mn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(e) 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4f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(f) Ti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2p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599815" cy="2861310"/>
            <wp:effectExtent l="0" t="0" r="635" b="15240"/>
            <wp:docPr id="18" name="图片 18" descr="615-循环前后X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615-循环前后XR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b/>
          <w:bCs/>
          <w:color w:val="FF0000"/>
          <w:kern w:val="0"/>
          <w:sz w:val="21"/>
          <w:szCs w:val="21"/>
          <w:lang w:eastAsia="zh-CN"/>
        </w:rPr>
        <w:t>Figure</w:t>
      </w:r>
      <w:r>
        <w:rPr>
          <w:rFonts w:hint="default" w:ascii="Times New Roman" w:hAnsi="Times New Roman" w:eastAsia="AdvPTimes" w:cs="Times New Roman"/>
          <w:b/>
          <w:bCs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FF0000"/>
          <w:sz w:val="21"/>
          <w:szCs w:val="21"/>
          <w:lang w:val="en-US" w:eastAsia="zh-CN"/>
        </w:rPr>
        <w:t>11</w:t>
      </w:r>
      <w:r>
        <w:rPr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sz w:val="21"/>
          <w:szCs w:val="21"/>
        </w:rPr>
        <w:t xml:space="preserve">he </w:t>
      </w:r>
      <w:r>
        <w:rPr>
          <w:rFonts w:hint="default" w:ascii="Times New Roman" w:hAnsi="Times New Roman" w:eastAsia="AdvPTimes" w:cs="Times New Roman"/>
          <w:color w:val="000000"/>
          <w:sz w:val="21"/>
          <w:szCs w:val="21"/>
        </w:rPr>
        <w:t>XRD pattern</w:t>
      </w:r>
      <w:r>
        <w:rPr>
          <w:rFonts w:hint="default" w:ascii="Times New Roman" w:hAnsi="Times New Roman" w:cs="Times New Roman"/>
          <w:sz w:val="21"/>
          <w:szCs w:val="21"/>
        </w:rPr>
        <w:t xml:space="preserve"> of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MnW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/TiO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nanorods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before and after three cycles of </w:t>
      </w:r>
      <w:r>
        <w:rPr>
          <w:rFonts w:hint="default" w:ascii="Times New Roman" w:hAnsi="Times New Roman" w:cs="Times New Roman"/>
          <w:sz w:val="21"/>
          <w:szCs w:val="21"/>
        </w:rPr>
        <w:t>photocatalytic hydrogen generation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d3a5f74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1e10035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ce71c481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843c57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Time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999035f4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9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  <w:lvlOverride w:ilvl="0">
      <w:lvl w:ilvl="0" w:tentative="1">
        <w:start w:val="1"/>
        <w:numFmt w:val="decimal"/>
        <w:pStyle w:val="2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4514"/>
    <w:rsid w:val="058C056C"/>
    <w:rsid w:val="08767E00"/>
    <w:rsid w:val="0973596D"/>
    <w:rsid w:val="0C4202EA"/>
    <w:rsid w:val="15C81AEA"/>
    <w:rsid w:val="198218A1"/>
    <w:rsid w:val="1D130B0C"/>
    <w:rsid w:val="1F301118"/>
    <w:rsid w:val="2A78545D"/>
    <w:rsid w:val="2D6C0610"/>
    <w:rsid w:val="33A35E49"/>
    <w:rsid w:val="53C774AD"/>
    <w:rsid w:val="63417D8F"/>
    <w:rsid w:val="65115C8C"/>
    <w:rsid w:val="72DA3684"/>
    <w:rsid w:val="7502434D"/>
    <w:rsid w:val="7E52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2"/>
    <w:pPr>
      <w:numPr>
        <w:ilvl w:val="0"/>
        <w:numId w:val="1"/>
      </w:numPr>
      <w:spacing w:before="240" w:after="240"/>
      <w:ind w:left="1434" w:hanging="357"/>
      <w:contextualSpacing w:val="0"/>
      <w:outlineLvl w:val="0"/>
    </w:pPr>
    <w:rPr>
      <w:rFonts w:ascii="Times New Roman" w:hAnsi="Times New Roman" w:eastAsia="Cambria" w:cs="Times New Roman"/>
      <w:b/>
      <w:kern w:val="0"/>
      <w:sz w:val="24"/>
      <w:szCs w:val="24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next w:val="1"/>
    <w:unhideWhenUsed/>
    <w:qFormat/>
    <w:uiPriority w:val="99"/>
    <w:pPr>
      <w:spacing w:before="240" w:after="240"/>
    </w:pPr>
    <w:rPr>
      <w:rFonts w:ascii="Times New Roman" w:hAnsi="Times New Roman" w:cs="Times New Roman" w:eastAsiaTheme="minorEastAsia"/>
      <w:b/>
      <w:kern w:val="0"/>
      <w:sz w:val="24"/>
      <w:szCs w:val="24"/>
      <w:lang w:val="en-US" w:eastAsia="en-US" w:bidi="ar-SA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style01"/>
    <w:basedOn w:val="5"/>
    <w:uiPriority w:val="0"/>
    <w:rPr>
      <w:rFonts w:ascii="AdvOTd3a5f740" w:hAnsi="AdvOTd3a5f740" w:eastAsia="AdvOTd3a5f740" w:cs="AdvOTd3a5f740"/>
      <w:color w:val="242021"/>
      <w:sz w:val="16"/>
      <w:szCs w:val="16"/>
    </w:rPr>
  </w:style>
  <w:style w:type="paragraph" w:customStyle="1" w:styleId="8">
    <w:name w:val="Author List"/>
    <w:next w:val="1"/>
    <w:qFormat/>
    <w:uiPriority w:val="1"/>
    <w:pPr>
      <w:spacing w:before="240" w:after="240"/>
    </w:pPr>
    <w:rPr>
      <w:rFonts w:ascii="Times New Roman" w:hAnsi="Times New Roman" w:cs="Times New Roman" w:eastAsiaTheme="minorEastAsia"/>
      <w:b/>
      <w:kern w:val="0"/>
      <w:sz w:val="24"/>
      <w:szCs w:val="24"/>
      <w:lang w:val="en-US" w:eastAsia="en-US" w:bidi="ar-SA"/>
    </w:rPr>
  </w:style>
  <w:style w:type="paragraph" w:styleId="9">
    <w:name w:val="List Paragraph"/>
    <w:qFormat/>
    <w:uiPriority w:val="3"/>
    <w:pPr>
      <w:numPr>
        <w:ilvl w:val="0"/>
        <w:numId w:val="2"/>
      </w:numPr>
      <w:spacing w:before="120" w:after="240"/>
      <w:ind w:left="1434" w:hanging="357"/>
      <w:contextualSpacing/>
    </w:pPr>
    <w:rPr>
      <w:rFonts w:ascii="Times New Roman" w:hAnsi="Times New Roman" w:eastAsia="Cambria" w:cs="Times New Roman"/>
      <w:kern w:val="0"/>
      <w:sz w:val="24"/>
      <w:szCs w:val="24"/>
      <w:lang w:val="en-US" w:eastAsia="en-US" w:bidi="ar-SA"/>
    </w:rPr>
  </w:style>
  <w:style w:type="paragraph" w:customStyle="1" w:styleId="10">
    <w:name w:val="EndNote Bibliography"/>
    <w:qFormat/>
    <w:uiPriority w:val="0"/>
    <w:pPr>
      <w:spacing w:before="120" w:after="240"/>
    </w:pPr>
    <w:rPr>
      <w:rFonts w:ascii="Times New Roman" w:hAnsi="Times New Roman" w:cs="Times New Roman" w:eastAsiaTheme="minorEastAsia"/>
      <w:kern w:val="0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</dc:creator>
  <cp:lastModifiedBy>123</cp:lastModifiedBy>
  <dcterms:modified xsi:type="dcterms:W3CDTF">2021-03-05T05:09:05Z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