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15542" w:rsidRPr="00915542" w:rsidRDefault="00915542" w:rsidP="00162987">
      <w:pPr>
        <w:spacing w:line="480" w:lineRule="auto"/>
        <w:rPr>
          <w:b/>
        </w:rPr>
      </w:pPr>
      <w:r>
        <w:rPr>
          <w:b/>
        </w:rPr>
        <w:t>S</w:t>
      </w:r>
      <w:r w:rsidRPr="00915542">
        <w:rPr>
          <w:b/>
        </w:rPr>
        <w:t>upplementary file Inclusion and exclusion criteria</w:t>
      </w:r>
    </w:p>
    <w:p w:rsidR="00162987" w:rsidRPr="000C1030" w:rsidRDefault="00162987" w:rsidP="00162987">
      <w:pPr>
        <w:spacing w:line="480" w:lineRule="auto"/>
        <w:rPr>
          <w:b/>
        </w:rPr>
      </w:pPr>
      <w:r w:rsidRPr="000C1030">
        <w:rPr>
          <w:b/>
        </w:rPr>
        <w:t>Inclusion criteria</w:t>
      </w:r>
    </w:p>
    <w:p w:rsidR="00162987" w:rsidRPr="000C1030" w:rsidRDefault="00162987" w:rsidP="00162987">
      <w:pPr>
        <w:spacing w:line="480" w:lineRule="auto"/>
      </w:pPr>
      <w:r w:rsidRPr="000C1030">
        <w:t>1) Patients aged 20 years</w:t>
      </w:r>
      <w:r>
        <w:t xml:space="preserve"> or</w:t>
      </w:r>
      <w:r w:rsidRPr="000C1030">
        <w:t xml:space="preserve"> older (both </w:t>
      </w:r>
      <w:r>
        <w:t>sexes</w:t>
      </w:r>
      <w:r w:rsidRPr="000C1030">
        <w:t>)</w:t>
      </w:r>
    </w:p>
    <w:p w:rsidR="00162987" w:rsidRDefault="00162987" w:rsidP="00162987">
      <w:pPr>
        <w:spacing w:line="480" w:lineRule="auto"/>
        <w:rPr>
          <w:b/>
        </w:rPr>
      </w:pPr>
      <w:r w:rsidRPr="000C1030">
        <w:t xml:space="preserve">2) </w:t>
      </w:r>
      <w:r w:rsidRPr="001B4BFB">
        <w:t xml:space="preserve">Patients diagnosed at this hospital as having </w:t>
      </w:r>
      <w:r>
        <w:t>COPD</w:t>
      </w:r>
      <w:r w:rsidRPr="001B4BFB">
        <w:t xml:space="preserve"> (WHO functional class II, III or IV) without hypoxia at rest or during 6MWT (to exclude those with decreased ADL and dyspnea in daily living associated with hypoxia and to minimize the influence of hypoxic pulmonary vasoconstriction [HPV] as a potential cause of PH associated with decreased </w:t>
      </w:r>
      <w:r>
        <w:t>partial pressure of oxygen in arterial blood [</w:t>
      </w:r>
      <w:r w:rsidRPr="001B4BFB">
        <w:t>PaO</w:t>
      </w:r>
      <w:r w:rsidRPr="001B4BFB">
        <w:rPr>
          <w:vertAlign w:val="subscript"/>
        </w:rPr>
        <w:t>2</w:t>
      </w:r>
      <w:r>
        <w:t>]</w:t>
      </w:r>
      <w:r w:rsidRPr="001B4BFB">
        <w:t>) (PaO</w:t>
      </w:r>
      <w:r w:rsidRPr="001B4BFB">
        <w:rPr>
          <w:vertAlign w:val="subscript"/>
        </w:rPr>
        <w:t>2</w:t>
      </w:r>
      <w:r w:rsidRPr="001B4BFB">
        <w:t xml:space="preserve"> &lt; 60 </w:t>
      </w:r>
      <w:proofErr w:type="gramStart"/>
      <w:r w:rsidRPr="001B4BFB">
        <w:t>mmHg)*</w:t>
      </w:r>
      <w:proofErr w:type="gramEnd"/>
      <w:r w:rsidRPr="001B4BFB">
        <w:t>.</w:t>
      </w:r>
    </w:p>
    <w:p w:rsidR="00162987" w:rsidRPr="000C1030" w:rsidRDefault="00162987" w:rsidP="00162987">
      <w:pPr>
        <w:spacing w:line="480" w:lineRule="auto"/>
      </w:pPr>
      <w:r w:rsidRPr="000C1030">
        <w:t>*Including those whose hypoxia (PaO</w:t>
      </w:r>
      <w:r w:rsidRPr="000C1030">
        <w:rPr>
          <w:vertAlign w:val="subscript"/>
        </w:rPr>
        <w:t xml:space="preserve">2 </w:t>
      </w:r>
      <w:r w:rsidRPr="000C1030">
        <w:t>&lt; 60 mmHg) had been corrected with long-term oxygen therapy (LTOT)</w:t>
      </w:r>
    </w:p>
    <w:p w:rsidR="00162987" w:rsidRDefault="00162987" w:rsidP="00162987">
      <w:pPr>
        <w:spacing w:line="480" w:lineRule="auto"/>
      </w:pPr>
      <w:r w:rsidRPr="000C1030">
        <w:t>3)</w:t>
      </w:r>
      <w:bookmarkStart w:id="0" w:name="_Hlk85971576"/>
      <w:r w:rsidRPr="000C1030">
        <w:t xml:space="preserve"> </w:t>
      </w:r>
      <w:r>
        <w:t>COPD</w:t>
      </w:r>
      <w:r w:rsidRPr="000C1030">
        <w:t xml:space="preserve"> </w:t>
      </w:r>
      <w:r>
        <w:t>p</w:t>
      </w:r>
      <w:r w:rsidRPr="000C1030">
        <w:t xml:space="preserve">atients </w:t>
      </w:r>
      <w:r>
        <w:t xml:space="preserve">with </w:t>
      </w:r>
      <w:proofErr w:type="spellStart"/>
      <w:r>
        <w:t>eePAP</w:t>
      </w:r>
      <w:proofErr w:type="spellEnd"/>
      <w:r w:rsidRPr="000C1030">
        <w:t xml:space="preserve"> or </w:t>
      </w:r>
      <w:r>
        <w:t xml:space="preserve">less severe </w:t>
      </w:r>
      <w:r w:rsidRPr="000C1030">
        <w:t>PH</w:t>
      </w:r>
      <w:r>
        <w:t xml:space="preserve"> presenting</w:t>
      </w:r>
      <w:r w:rsidRPr="000C1030">
        <w:t xml:space="preserve"> </w:t>
      </w:r>
      <w:r>
        <w:t xml:space="preserve">with </w:t>
      </w:r>
      <w:r>
        <w:rPr>
          <w:bCs/>
        </w:rPr>
        <w:t>r</w:t>
      </w:r>
      <w:r w:rsidRPr="0025436D">
        <w:rPr>
          <w:rFonts w:hint="eastAsia"/>
          <w:bCs/>
        </w:rPr>
        <w:t>e</w:t>
      </w:r>
      <w:r w:rsidRPr="0025436D">
        <w:rPr>
          <w:bCs/>
        </w:rPr>
        <w:t xml:space="preserve">spiratory symptoms </w:t>
      </w:r>
      <w:r>
        <w:rPr>
          <w:bCs/>
        </w:rPr>
        <w:t>who</w:t>
      </w:r>
      <w:r>
        <w:t xml:space="preserve"> had not required for</w:t>
      </w:r>
      <w:r w:rsidRPr="000C1030">
        <w:t xml:space="preserve"> any change of treatment within 3 months prior to </w:t>
      </w:r>
      <w:r>
        <w:t xml:space="preserve">study enrollment </w:t>
      </w:r>
      <w:r w:rsidRPr="000C1030">
        <w:t xml:space="preserve">and </w:t>
      </w:r>
      <w:r>
        <w:rPr>
          <w:bCs/>
        </w:rPr>
        <w:t>whose symptoms</w:t>
      </w:r>
      <w:r w:rsidRPr="0025436D">
        <w:rPr>
          <w:bCs/>
        </w:rPr>
        <w:t xml:space="preserve"> </w:t>
      </w:r>
      <w:r>
        <w:rPr>
          <w:bCs/>
        </w:rPr>
        <w:t xml:space="preserve">were stable but remained and gradually progressed </w:t>
      </w:r>
      <w:r w:rsidRPr="0025436D">
        <w:rPr>
          <w:bCs/>
        </w:rPr>
        <w:t>even</w:t>
      </w:r>
      <w:r w:rsidRPr="00C867C7">
        <w:rPr>
          <w:lang w:val="en-AU"/>
        </w:rPr>
        <w:t xml:space="preserve"> after </w:t>
      </w:r>
      <w:r>
        <w:rPr>
          <w:lang w:val="en-AU"/>
        </w:rPr>
        <w:t>COPD</w:t>
      </w:r>
      <w:r w:rsidRPr="00C867C7">
        <w:rPr>
          <w:lang w:val="en-AU"/>
        </w:rPr>
        <w:t xml:space="preserve"> therapy</w:t>
      </w:r>
      <w:r w:rsidRPr="000C1030">
        <w:t xml:space="preserve">. </w:t>
      </w:r>
    </w:p>
    <w:bookmarkEnd w:id="0"/>
    <w:p w:rsidR="00162987" w:rsidRPr="000C1030" w:rsidRDefault="00162987" w:rsidP="00162987">
      <w:pPr>
        <w:spacing w:line="480" w:lineRule="auto"/>
      </w:pPr>
      <w:r>
        <w:rPr>
          <w:rFonts w:hint="eastAsia"/>
        </w:rPr>
        <w:t>4</w:t>
      </w:r>
      <w:r>
        <w:t xml:space="preserve">) Patients with </w:t>
      </w:r>
      <w:proofErr w:type="spellStart"/>
      <w:r>
        <w:t>eePAP</w:t>
      </w:r>
      <w:proofErr w:type="spellEnd"/>
      <w:r w:rsidRPr="000C1030">
        <w:t xml:space="preserve"> or </w:t>
      </w:r>
      <w:r>
        <w:t xml:space="preserve">less severe </w:t>
      </w:r>
      <w:r w:rsidRPr="000C1030">
        <w:t xml:space="preserve">PH </w:t>
      </w:r>
      <w:r>
        <w:t xml:space="preserve">requiring therapeutic intervention </w:t>
      </w:r>
      <w:r w:rsidRPr="000C1030">
        <w:t xml:space="preserve">diagnosed </w:t>
      </w:r>
      <w:r>
        <w:t>a</w:t>
      </w:r>
      <w:bookmarkStart w:id="1" w:name="_Hlk85972053"/>
      <w:r>
        <w:t>s</w:t>
      </w:r>
      <w:bookmarkStart w:id="2" w:name="_Hlk85976420"/>
      <w:r w:rsidRPr="000C1030">
        <w:t xml:space="preserve"> </w:t>
      </w:r>
      <w:r>
        <w:t>a</w:t>
      </w:r>
      <w:r w:rsidRPr="00D42680">
        <w:rPr>
          <w:rFonts w:hint="eastAsia"/>
        </w:rPr>
        <w:t>s</w:t>
      </w:r>
      <w:r w:rsidRPr="00D42680">
        <w:t xml:space="preserve">suming PAWP </w:t>
      </w:r>
      <w:r w:rsidRPr="000C1030">
        <w:t xml:space="preserve">≤ </w:t>
      </w:r>
      <w:r w:rsidRPr="00D42680">
        <w:t>15mmHg</w:t>
      </w:r>
      <w:r>
        <w:t xml:space="preserve">, </w:t>
      </w:r>
      <w:proofErr w:type="spellStart"/>
      <w:r w:rsidRPr="000C1030">
        <w:t>mPAP</w:t>
      </w:r>
      <w:proofErr w:type="spellEnd"/>
      <w:r w:rsidRPr="000C1030">
        <w:t xml:space="preserve"> &lt; 25 mmHg and </w:t>
      </w:r>
      <w:proofErr w:type="spellStart"/>
      <w:r w:rsidRPr="000C1030">
        <w:t>mPAP</w:t>
      </w:r>
      <w:proofErr w:type="spellEnd"/>
      <w:r>
        <w:t xml:space="preserve"> on exercise (</w:t>
      </w:r>
      <w:proofErr w:type="spellStart"/>
      <w:r>
        <w:t>mPAPOE</w:t>
      </w:r>
      <w:proofErr w:type="spellEnd"/>
      <w:r>
        <w:t>)</w:t>
      </w:r>
      <w:r w:rsidRPr="000C1030">
        <w:t xml:space="preserve"> ≥ 30 mmHg or 25 mmHg ≤ </w:t>
      </w:r>
      <w:proofErr w:type="spellStart"/>
      <w:r w:rsidRPr="000C1030">
        <w:t>mPAP</w:t>
      </w:r>
      <w:proofErr w:type="spellEnd"/>
      <w:r w:rsidRPr="000C1030">
        <w:t xml:space="preserve"> &lt; 35 mmHg</w:t>
      </w:r>
      <w:bookmarkEnd w:id="1"/>
      <w:bookmarkEnd w:id="2"/>
      <w:r>
        <w:t>.</w:t>
      </w:r>
    </w:p>
    <w:p w:rsidR="00162987" w:rsidRPr="000C1030" w:rsidRDefault="00162987" w:rsidP="00162987">
      <w:pPr>
        <w:spacing w:line="480" w:lineRule="auto"/>
      </w:pPr>
      <w:r>
        <w:t>5</w:t>
      </w:r>
      <w:r w:rsidRPr="000C1030">
        <w:t xml:space="preserve">) Inpatients and outpatients </w:t>
      </w:r>
    </w:p>
    <w:p w:rsidR="00162987" w:rsidRPr="000C1030" w:rsidRDefault="00162987" w:rsidP="00162987">
      <w:pPr>
        <w:spacing w:line="480" w:lineRule="auto"/>
      </w:pPr>
      <w:r>
        <w:t>6</w:t>
      </w:r>
      <w:r w:rsidRPr="000C1030">
        <w:t xml:space="preserve">) Patients who provided written informed consent </w:t>
      </w:r>
      <w:r>
        <w:t xml:space="preserve">before </w:t>
      </w:r>
      <w:r w:rsidRPr="000C1030">
        <w:t>participat</w:t>
      </w:r>
      <w:r>
        <w:t>ing</w:t>
      </w:r>
      <w:r w:rsidRPr="000C1030">
        <w:t xml:space="preserve"> in this study </w:t>
      </w:r>
    </w:p>
    <w:p w:rsidR="00162987" w:rsidRPr="000C1030" w:rsidRDefault="00162987" w:rsidP="00162987">
      <w:pPr>
        <w:spacing w:line="480" w:lineRule="auto"/>
      </w:pPr>
    </w:p>
    <w:p w:rsidR="00162987" w:rsidRPr="000C1030" w:rsidRDefault="00162987" w:rsidP="00162987">
      <w:pPr>
        <w:spacing w:line="480" w:lineRule="auto"/>
        <w:rPr>
          <w:b/>
        </w:rPr>
      </w:pPr>
      <w:r w:rsidRPr="000C1030">
        <w:rPr>
          <w:b/>
        </w:rPr>
        <w:lastRenderedPageBreak/>
        <w:t>Exclusion criteria</w:t>
      </w:r>
    </w:p>
    <w:p w:rsidR="00162987" w:rsidRPr="000C1030" w:rsidRDefault="00162987" w:rsidP="00162987">
      <w:pPr>
        <w:spacing w:line="480" w:lineRule="auto"/>
      </w:pPr>
      <w:r w:rsidRPr="000C1030">
        <w:t xml:space="preserve">1) Patients who had received </w:t>
      </w:r>
      <w:proofErr w:type="spellStart"/>
      <w:r w:rsidRPr="000C1030">
        <w:t>bosentan</w:t>
      </w:r>
      <w:proofErr w:type="spellEnd"/>
      <w:r w:rsidRPr="000C1030">
        <w:t xml:space="preserve"> or </w:t>
      </w:r>
      <w:r>
        <w:t xml:space="preserve">any </w:t>
      </w:r>
      <w:r w:rsidRPr="000C1030">
        <w:t xml:space="preserve">other drug specific for PAH (e.g., </w:t>
      </w:r>
      <w:r w:rsidRPr="007C41E2">
        <w:t xml:space="preserve">phosphodiesterase </w:t>
      </w:r>
      <w:r>
        <w:t>type 5 [</w:t>
      </w:r>
      <w:r w:rsidRPr="000C1030">
        <w:t>PDE-5</w:t>
      </w:r>
      <w:r>
        <w:t>]</w:t>
      </w:r>
      <w:r w:rsidRPr="000C1030">
        <w:t xml:space="preserve"> inhibitors, endothelin receptor antagonists,</w:t>
      </w:r>
      <w:r>
        <w:t xml:space="preserve"> or</w:t>
      </w:r>
      <w:r w:rsidRPr="000C1030">
        <w:t xml:space="preserve"> prostaglandin analogs) prior to their enrollment</w:t>
      </w:r>
    </w:p>
    <w:p w:rsidR="00162987" w:rsidRDefault="00162987" w:rsidP="00162987">
      <w:pPr>
        <w:spacing w:line="480" w:lineRule="auto"/>
      </w:pPr>
      <w:r w:rsidRPr="000C1030">
        <w:t>2) Patients with any disease that could cause right heart overload</w:t>
      </w:r>
      <w:r>
        <w:t>.</w:t>
      </w:r>
    </w:p>
    <w:p w:rsidR="00162987" w:rsidRPr="000C1030" w:rsidRDefault="00162987" w:rsidP="00162987">
      <w:pPr>
        <w:spacing w:line="480" w:lineRule="auto"/>
      </w:pPr>
      <w:r>
        <w:rPr>
          <w:rFonts w:hint="eastAsia"/>
        </w:rPr>
        <w:t>3</w:t>
      </w:r>
      <w:r>
        <w:t xml:space="preserve">) </w:t>
      </w:r>
      <w:r w:rsidRPr="000C1030">
        <w:t>Patients with</w:t>
      </w:r>
      <w:r>
        <w:t xml:space="preserve"> PAWP&gt;15mmHg</w:t>
      </w:r>
    </w:p>
    <w:p w:rsidR="00162987" w:rsidRPr="001B4BFB" w:rsidRDefault="00162987" w:rsidP="00162987">
      <w:pPr>
        <w:spacing w:line="480" w:lineRule="auto"/>
      </w:pPr>
      <w:r>
        <w:t>4</w:t>
      </w:r>
      <w:r w:rsidRPr="000C1030">
        <w:t xml:space="preserve">) </w:t>
      </w:r>
      <w:r w:rsidRPr="001B4BFB">
        <w:t>Patients with hypoxia during 6MWT (PaO</w:t>
      </w:r>
      <w:r w:rsidRPr="001B4BFB">
        <w:rPr>
          <w:vertAlign w:val="subscript"/>
        </w:rPr>
        <w:t>2</w:t>
      </w:r>
      <w:r w:rsidRPr="001B4BFB">
        <w:t xml:space="preserve"> &lt; 60 </w:t>
      </w:r>
      <w:proofErr w:type="gramStart"/>
      <w:r w:rsidRPr="001B4BFB">
        <w:t>mmHg)*</w:t>
      </w:r>
      <w:proofErr w:type="gramEnd"/>
      <w:r w:rsidRPr="001B4BFB">
        <w:t>.</w:t>
      </w:r>
    </w:p>
    <w:p w:rsidR="00162987" w:rsidRPr="000C1030" w:rsidRDefault="00162987" w:rsidP="00162987">
      <w:pPr>
        <w:spacing w:line="480" w:lineRule="auto"/>
      </w:pPr>
      <w:r w:rsidRPr="001B4BFB">
        <w:t>* Excluded were those whose hypoxia (PaO</w:t>
      </w:r>
      <w:r w:rsidRPr="001B4BFB">
        <w:rPr>
          <w:vertAlign w:val="subscript"/>
        </w:rPr>
        <w:t>2</w:t>
      </w:r>
      <w:r w:rsidRPr="001B4BFB">
        <w:t xml:space="preserve"> &lt; 60 mmHg) had been corrected with LTOT (i.e., those in whom LTOT is in place to ensure PaO2 &gt; 60 mmHg both at rest and during 6MWT, who were deemed equivalent to </w:t>
      </w:r>
      <w:r>
        <w:t>COPD</w:t>
      </w:r>
      <w:r w:rsidRPr="001B4BFB">
        <w:t xml:space="preserve"> patients receiving routine therapy in clinical practice to allow them to be monitored for changes in their condition, prognosis and functional capacity for ADL).</w:t>
      </w:r>
    </w:p>
    <w:p w:rsidR="00162987" w:rsidRDefault="00162987" w:rsidP="00162987">
      <w:pPr>
        <w:spacing w:line="480" w:lineRule="auto"/>
      </w:pPr>
      <w:r>
        <w:t>5</w:t>
      </w:r>
      <w:r w:rsidRPr="000C1030">
        <w:t xml:space="preserve">) </w:t>
      </w:r>
      <w:r>
        <w:t xml:space="preserve">Patients </w:t>
      </w:r>
      <w:r w:rsidRPr="00151F68">
        <w:t xml:space="preserve">with a documented history of asthma, a bronchodilator response (BDR) to 400 </w:t>
      </w:r>
      <w:r w:rsidRPr="00151F68">
        <w:sym w:font="Symbol" w:char="F06D"/>
      </w:r>
      <w:r w:rsidRPr="00151F68">
        <w:t xml:space="preserve">g salbutamol shown as a FEV1 change of ≥ 200 mL or </w:t>
      </w:r>
      <w:r w:rsidRPr="00151F68">
        <w:rPr>
          <w:rFonts w:eastAsia="游明朝"/>
        </w:rPr>
        <w:t>peripheral eosinophilia &gt; 150</w:t>
      </w:r>
      <w:r>
        <w:rPr>
          <w:rFonts w:eastAsia="游明朝"/>
        </w:rPr>
        <w:t>cells/</w:t>
      </w:r>
      <w:proofErr w:type="spellStart"/>
      <w:r>
        <w:rPr>
          <w:rFonts w:eastAsia="游明朝"/>
        </w:rPr>
        <w:t>uL</w:t>
      </w:r>
      <w:proofErr w:type="spellEnd"/>
      <w:r w:rsidRPr="00151F68">
        <w:rPr>
          <w:rFonts w:eastAsia="游明朝"/>
        </w:rPr>
        <w:t xml:space="preserve">, presence of typical asthma symptoms of atopy or history of </w:t>
      </w:r>
      <w:proofErr w:type="spellStart"/>
      <w:r w:rsidRPr="00151F68">
        <w:rPr>
          <w:rFonts w:eastAsia="游明朝"/>
        </w:rPr>
        <w:t>IgE</w:t>
      </w:r>
      <w:proofErr w:type="spellEnd"/>
      <w:r w:rsidRPr="00151F68">
        <w:rPr>
          <w:rFonts w:eastAsia="游明朝"/>
        </w:rPr>
        <w:t>&gt;170IU/ml</w:t>
      </w:r>
      <w:r w:rsidRPr="00151F68">
        <w:t>.</w:t>
      </w:r>
    </w:p>
    <w:p w:rsidR="00162987" w:rsidRPr="00C9364E" w:rsidRDefault="00162987" w:rsidP="00162987">
      <w:pPr>
        <w:spacing w:line="480" w:lineRule="auto"/>
      </w:pPr>
      <w:r>
        <w:t>7)</w:t>
      </w:r>
      <w:r w:rsidRPr="00C9364E">
        <w:t xml:space="preserve"> Women who were pregnant or might have been pregnant, and who were lactating</w:t>
      </w:r>
      <w:r>
        <w:t>.</w:t>
      </w:r>
    </w:p>
    <w:p w:rsidR="00162987" w:rsidRPr="000C1030" w:rsidRDefault="00162987" w:rsidP="00162987">
      <w:pPr>
        <w:spacing w:line="480" w:lineRule="auto"/>
      </w:pPr>
      <w:r>
        <w:t>8</w:t>
      </w:r>
      <w:r w:rsidRPr="000C1030">
        <w:t>) Patients with moderate or severe liver disorder</w:t>
      </w:r>
    </w:p>
    <w:p w:rsidR="00162987" w:rsidRPr="000C1030" w:rsidRDefault="00162987" w:rsidP="00162987">
      <w:pPr>
        <w:spacing w:line="480" w:lineRule="auto"/>
      </w:pPr>
      <w:r>
        <w:t>9</w:t>
      </w:r>
      <w:r w:rsidRPr="000C1030">
        <w:t xml:space="preserve">) Patients receiving treatment with cyclosporine, tacrolimus, or </w:t>
      </w:r>
      <w:proofErr w:type="spellStart"/>
      <w:r w:rsidRPr="000C1030">
        <w:t>glibenclamide</w:t>
      </w:r>
      <w:proofErr w:type="spellEnd"/>
    </w:p>
    <w:p w:rsidR="00795D21" w:rsidRDefault="00162987" w:rsidP="00162987">
      <w:r>
        <w:t>10</w:t>
      </w:r>
      <w:r w:rsidRPr="000C1030">
        <w:t xml:space="preserve">) Other patients judged by the investigator to be ineligible </w:t>
      </w:r>
      <w:r>
        <w:t>for</w:t>
      </w:r>
      <w:r w:rsidRPr="000C1030">
        <w:t xml:space="preserve"> this study (e.g., </w:t>
      </w:r>
      <w:r>
        <w:t xml:space="preserve">those </w:t>
      </w:r>
      <w:r w:rsidRPr="000C1030">
        <w:t>with any disease or condition other than</w:t>
      </w:r>
      <w:r w:rsidRPr="000C1030">
        <w:rPr>
          <w:rFonts w:eastAsia="ヒラギノ明朝 Pro W3"/>
        </w:rPr>
        <w:t xml:space="preserve"> </w:t>
      </w:r>
      <w:r>
        <w:rPr>
          <w:rFonts w:eastAsia="ヒラギノ明朝 Pro W3"/>
        </w:rPr>
        <w:t>COPD</w:t>
      </w:r>
      <w:r w:rsidRPr="000C1030">
        <w:rPr>
          <w:rFonts w:eastAsia="ヒラギノ明朝 Pro W3"/>
        </w:rPr>
        <w:t xml:space="preserve"> that might affect</w:t>
      </w:r>
      <w:r w:rsidRPr="000C1030">
        <w:t xml:space="preserve"> their ADL, such as arrhythmia, LV failure, pulmonary thromboembolism, connective tissue diseases, intervertebral disc herniation, </w:t>
      </w:r>
      <w:r>
        <w:t>as they</w:t>
      </w:r>
      <w:r w:rsidRPr="000C1030">
        <w:t xml:space="preserve"> were confirmed by history taking, physical examination, chest x-ray, </w:t>
      </w:r>
      <w:r>
        <w:t>echocardiography</w:t>
      </w:r>
      <w:r w:rsidRPr="000C1030">
        <w:t>, lung perfusion scintigraphy,</w:t>
      </w:r>
      <w:r w:rsidRPr="000C1030">
        <w:rPr>
          <w:rFonts w:eastAsia="HGSｺﾞｼｯｸE"/>
        </w:rPr>
        <w:t xml:space="preserve"> and </w:t>
      </w:r>
      <w:r w:rsidRPr="000C1030">
        <w:rPr>
          <w:rFonts w:eastAsia="HGSｺﾞｼｯｸE"/>
        </w:rPr>
        <w:lastRenderedPageBreak/>
        <w:t xml:space="preserve">measurements of various parameters conducted during the </w:t>
      </w:r>
      <w:r w:rsidRPr="000C1030">
        <w:t>run-in period</w:t>
      </w:r>
      <w:r>
        <w:t>)</w:t>
      </w:r>
      <w:r w:rsidRPr="000C1030">
        <w:t>.</w:t>
      </w:r>
    </w:p>
    <w:sectPr w:rsidR="00795D21" w:rsidSect="009D590B">
      <w:pgSz w:w="11900" w:h="16840"/>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Symbol">
    <w:panose1 w:val="05050102010706020507"/>
    <w:charset w:val="02"/>
    <w:family w:val="decorative"/>
    <w:pitch w:val="variable"/>
    <w:sig w:usb0="00000000" w:usb1="10000000" w:usb2="00000000" w:usb3="00000000" w:csb0="80000000" w:csb1="00000000"/>
  </w:font>
  <w:font w:name="ヒラギノ明朝 Pro W3">
    <w:panose1 w:val="02020300000000000000"/>
    <w:charset w:val="80"/>
    <w:family w:val="roman"/>
    <w:pitch w:val="variable"/>
    <w:sig w:usb0="E00002FF" w:usb1="7AC7FFFF" w:usb2="00000012" w:usb3="00000000" w:csb0="0002000D" w:csb1="00000000"/>
  </w:font>
  <w:font w:name="HGSｺﾞｼｯｸE">
    <w:panose1 w:val="020B0900000000000000"/>
    <w:charset w:val="80"/>
    <w:family w:val="swiss"/>
    <w:pitch w:val="variable"/>
    <w:sig w:usb0="E00002FF" w:usb1="6AC7FDFB"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987"/>
    <w:rsid w:val="00162987"/>
    <w:rsid w:val="00795D21"/>
    <w:rsid w:val="00915542"/>
    <w:rsid w:val="009D590B"/>
    <w:rsid w:val="00EB15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832C1CB"/>
  <w15:chartTrackingRefBased/>
  <w15:docId w15:val="{3F2D10F2-A302-A148-AF8E-F036677E2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2987"/>
    <w:pPr>
      <w:widowControl w:val="0"/>
      <w:jc w:val="both"/>
    </w:pPr>
    <w:rPr>
      <w:rFonts w:ascii="Times New Roman" w:eastAsia="ＭＳ 明朝"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436</Words>
  <Characters>2491</Characters>
  <Application>Microsoft Office Word</Application>
  <DocSecurity>0</DocSecurity>
  <Lines>20</Lines>
  <Paragraphs>5</Paragraphs>
  <ScaleCrop>false</ScaleCrop>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庸介</dc:creator>
  <cp:keywords/>
  <dc:description/>
  <cp:lastModifiedBy>田中 庸介</cp:lastModifiedBy>
  <cp:revision>2</cp:revision>
  <dcterms:created xsi:type="dcterms:W3CDTF">2023-01-20T01:40:00Z</dcterms:created>
  <dcterms:modified xsi:type="dcterms:W3CDTF">2023-01-20T01:47:00Z</dcterms:modified>
</cp:coreProperties>
</file>