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C000D" w14:textId="77777777" w:rsidR="00C905E2" w:rsidRPr="00C905E2" w:rsidRDefault="00C905E2" w:rsidP="00936919">
      <w:pPr>
        <w:spacing w:line="480" w:lineRule="auto"/>
        <w:jc w:val="left"/>
        <w:rPr>
          <w:b/>
        </w:rPr>
      </w:pPr>
      <w:bookmarkStart w:id="0" w:name="_GoBack"/>
      <w:bookmarkEnd w:id="0"/>
      <w:r w:rsidRPr="00C905E2">
        <w:rPr>
          <w:b/>
        </w:rPr>
        <w:t>Supple</w:t>
      </w:r>
      <w:r w:rsidR="006242DD">
        <w:rPr>
          <w:b/>
        </w:rPr>
        <w:t>mentary information re</w:t>
      </w:r>
      <w:r w:rsidR="00ED6F05">
        <w:rPr>
          <w:rFonts w:hint="eastAsia"/>
          <w:b/>
        </w:rPr>
        <w:t>g</w:t>
      </w:r>
      <w:r w:rsidR="006242DD">
        <w:rPr>
          <w:b/>
        </w:rPr>
        <w:t>arding</w:t>
      </w:r>
      <w:r w:rsidRPr="00C905E2">
        <w:rPr>
          <w:b/>
        </w:rPr>
        <w:t xml:space="preserve"> </w:t>
      </w:r>
      <w:r w:rsidR="006242DD">
        <w:rPr>
          <w:b/>
        </w:rPr>
        <w:t>compensation in case of trial-related injury or death</w:t>
      </w:r>
    </w:p>
    <w:p w14:paraId="33BAB39D" w14:textId="77777777" w:rsidR="00936919" w:rsidRPr="00936919" w:rsidRDefault="00936919" w:rsidP="00936919">
      <w:pPr>
        <w:spacing w:line="480" w:lineRule="auto"/>
        <w:jc w:val="left"/>
        <w:rPr>
          <w:b/>
        </w:rPr>
      </w:pPr>
      <w:r w:rsidRPr="00936919">
        <w:rPr>
          <w:b/>
        </w:rPr>
        <w:t xml:space="preserve">Compensation or indemnity for injury </w:t>
      </w:r>
      <w:r w:rsidR="006242DD">
        <w:rPr>
          <w:b/>
        </w:rPr>
        <w:t>or death</w:t>
      </w:r>
    </w:p>
    <w:p w14:paraId="1C894D0D" w14:textId="77777777" w:rsidR="006C1197" w:rsidRDefault="00936919" w:rsidP="00936919">
      <w:r w:rsidRPr="00710D82">
        <w:t>There are no special compensation arrangements. Any health injury in this study will be handled in the same manner as health injuries or medical accidents occurring in usual medical practice. If indemnity is claimed for any health injury, the indemnity will be paid within the range covered by the medical liability insurance policy bought by the hospital or privately by the physician.</w:t>
      </w:r>
    </w:p>
    <w:sectPr w:rsidR="006C1197" w:rsidSect="00527404">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角ゴ ProN W3">
    <w:altName w:val="游ゴシック"/>
    <w:panose1 w:val="020B0300000000000000"/>
    <w:charset w:val="4E"/>
    <w:family w:val="auto"/>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grammar="clean"/>
  <w:defaultTabStop w:val="960"/>
  <w:hyphenationZone w:val="425"/>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19"/>
    <w:rsid w:val="00237470"/>
    <w:rsid w:val="004C522A"/>
    <w:rsid w:val="00527404"/>
    <w:rsid w:val="006242DD"/>
    <w:rsid w:val="006C1197"/>
    <w:rsid w:val="008A544B"/>
    <w:rsid w:val="00936919"/>
    <w:rsid w:val="00C905E2"/>
    <w:rsid w:val="00CB2CFB"/>
    <w:rsid w:val="00ED6F05"/>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90F66E4"/>
  <w15:docId w15:val="{42D995ED-FDBB-F34F-B530-837A2A50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6919"/>
    <w:pPr>
      <w:widowControl w:val="0"/>
      <w:jc w:val="both"/>
    </w:pPr>
    <w:rPr>
      <w:rFonts w:ascii="Times New Roman"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470"/>
    <w:rPr>
      <w:rFonts w:ascii="ヒラギノ角ゴ ProN W3" w:eastAsia="ヒラギノ角ゴ ProN W3"/>
      <w:sz w:val="18"/>
      <w:szCs w:val="18"/>
    </w:rPr>
  </w:style>
  <w:style w:type="character" w:customStyle="1" w:styleId="a4">
    <w:name w:val="吹き出し (文字)"/>
    <w:basedOn w:val="a0"/>
    <w:link w:val="a3"/>
    <w:uiPriority w:val="99"/>
    <w:semiHidden/>
    <w:rsid w:val="00237470"/>
    <w:rPr>
      <w:rFonts w:ascii="ヒラギノ角ゴ ProN W3" w:eastAsia="ヒラギノ角ゴ ProN W3"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NMS</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（株）日本トランスレーションセンター;田中 庸介</dc:creator>
  <cp:lastModifiedBy>Microsoft Office User</cp:lastModifiedBy>
  <cp:revision>2</cp:revision>
  <dcterms:created xsi:type="dcterms:W3CDTF">2021-10-29T10:08:00Z</dcterms:created>
  <dcterms:modified xsi:type="dcterms:W3CDTF">2021-10-29T10:08:00Z</dcterms:modified>
</cp:coreProperties>
</file>