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2604B7" w14:textId="66D08214" w:rsidR="00B04F7F" w:rsidRDefault="005026A2" w:rsidP="00B04F7F">
      <w:pPr>
        <w:spacing w:line="480" w:lineRule="auto"/>
        <w:rPr>
          <w:rFonts w:ascii="Times New Roman" w:hAnsi="Times New Roman" w:cs="Times New Roman"/>
          <w:b/>
          <w:bCs/>
        </w:rPr>
      </w:pPr>
      <w:r>
        <w:rPr>
          <w:rFonts w:ascii="Times New Roman" w:hAnsi="Times New Roman" w:cs="Times New Roman"/>
          <w:b/>
          <w:bCs/>
        </w:rPr>
        <w:t xml:space="preserve">Legends to </w:t>
      </w:r>
      <w:r w:rsidR="00B04F7F" w:rsidRPr="00DB67CA">
        <w:rPr>
          <w:rFonts w:ascii="Times New Roman" w:hAnsi="Times New Roman" w:cs="Times New Roman"/>
          <w:b/>
          <w:bCs/>
        </w:rPr>
        <w:t xml:space="preserve">Supplementary </w:t>
      </w:r>
      <w:r>
        <w:rPr>
          <w:rFonts w:ascii="Times New Roman" w:hAnsi="Times New Roman" w:cs="Times New Roman"/>
          <w:b/>
          <w:bCs/>
        </w:rPr>
        <w:t>Figures:</w:t>
      </w:r>
    </w:p>
    <w:p w14:paraId="47A9FE47" w14:textId="77777777" w:rsidR="005026A2" w:rsidRDefault="005026A2" w:rsidP="005026A2">
      <w:pPr>
        <w:spacing w:line="480" w:lineRule="auto"/>
        <w:rPr>
          <w:rFonts w:ascii="Times New Roman" w:hAnsi="Times New Roman" w:cs="Times New Roman"/>
          <w:b/>
          <w:bCs/>
        </w:rPr>
      </w:pPr>
      <w:r w:rsidRPr="00DB67CA">
        <w:rPr>
          <w:rFonts w:ascii="Times New Roman" w:hAnsi="Times New Roman" w:cs="Times New Roman"/>
          <w:b/>
          <w:bCs/>
        </w:rPr>
        <w:t xml:space="preserve">Supplementary Figure </w:t>
      </w:r>
      <w:r>
        <w:rPr>
          <w:rFonts w:ascii="Times New Roman" w:hAnsi="Times New Roman" w:cs="Times New Roman"/>
          <w:b/>
          <w:bCs/>
        </w:rPr>
        <w:t>1</w:t>
      </w:r>
      <w:r w:rsidRPr="00DB67CA">
        <w:rPr>
          <w:rFonts w:ascii="Times New Roman" w:hAnsi="Times New Roman" w:cs="Times New Roman"/>
          <w:b/>
          <w:bCs/>
        </w:rPr>
        <w:t>:</w:t>
      </w:r>
    </w:p>
    <w:p w14:paraId="5CD2DF9B" w14:textId="2A326133" w:rsidR="005026A2" w:rsidRPr="005026A2" w:rsidRDefault="00C27F97" w:rsidP="005026A2">
      <w:pPr>
        <w:spacing w:line="480" w:lineRule="auto"/>
        <w:rPr>
          <w:rFonts w:ascii="Times New Roman" w:hAnsi="Times New Roman" w:cs="Times New Roman"/>
        </w:rPr>
      </w:pPr>
      <w:r>
        <w:rPr>
          <w:rFonts w:ascii="Times New Roman" w:hAnsi="Times New Roman" w:cs="Times New Roman"/>
        </w:rPr>
        <w:t xml:space="preserve">The </w:t>
      </w:r>
      <w:r w:rsidR="00A0466F">
        <w:rPr>
          <w:rFonts w:ascii="Times New Roman" w:hAnsi="Times New Roman" w:cs="Times New Roman"/>
        </w:rPr>
        <w:t xml:space="preserve">foundational science </w:t>
      </w:r>
      <w:r>
        <w:rPr>
          <w:rFonts w:ascii="Times New Roman" w:hAnsi="Times New Roman" w:cs="Times New Roman"/>
        </w:rPr>
        <w:t>curriculum schema for the University of Toledo College of Medicine</w:t>
      </w:r>
      <w:r w:rsidR="00A0466F">
        <w:rPr>
          <w:rFonts w:ascii="Times New Roman" w:hAnsi="Times New Roman" w:cs="Times New Roman"/>
        </w:rPr>
        <w:t>’s</w:t>
      </w:r>
      <w:r>
        <w:rPr>
          <w:rFonts w:ascii="Times New Roman" w:hAnsi="Times New Roman" w:cs="Times New Roman"/>
        </w:rPr>
        <w:t xml:space="preserve"> MD </w:t>
      </w:r>
      <w:r w:rsidR="00A0466F">
        <w:rPr>
          <w:rFonts w:ascii="Times New Roman" w:hAnsi="Times New Roman" w:cs="Times New Roman"/>
        </w:rPr>
        <w:t>program</w:t>
      </w:r>
      <w:r>
        <w:rPr>
          <w:rFonts w:ascii="Times New Roman" w:hAnsi="Times New Roman" w:cs="Times New Roman"/>
        </w:rPr>
        <w:t>.</w:t>
      </w:r>
      <w:r w:rsidR="00A0466F">
        <w:rPr>
          <w:rFonts w:ascii="Times New Roman" w:hAnsi="Times New Roman" w:cs="Times New Roman"/>
        </w:rPr>
        <w:t xml:space="preserve"> The </w:t>
      </w:r>
      <w:r w:rsidR="007117B9">
        <w:rPr>
          <w:rFonts w:ascii="Times New Roman" w:hAnsi="Times New Roman" w:cs="Times New Roman"/>
        </w:rPr>
        <w:t>18-month</w:t>
      </w:r>
      <w:r w:rsidR="00A0466F">
        <w:rPr>
          <w:rFonts w:ascii="Times New Roman" w:hAnsi="Times New Roman" w:cs="Times New Roman"/>
        </w:rPr>
        <w:t xml:space="preserve"> </w:t>
      </w:r>
      <w:r w:rsidR="007117B9">
        <w:rPr>
          <w:rFonts w:ascii="Times New Roman" w:hAnsi="Times New Roman" w:cs="Times New Roman"/>
        </w:rPr>
        <w:t xml:space="preserve">curriculum is split between two academic years. </w:t>
      </w:r>
      <w:r w:rsidR="009D3B2B">
        <w:rPr>
          <w:rFonts w:ascii="Times New Roman" w:hAnsi="Times New Roman" w:cs="Times New Roman"/>
        </w:rPr>
        <w:t>The individual systems from e</w:t>
      </w:r>
      <w:r w:rsidR="007117B9">
        <w:rPr>
          <w:rFonts w:ascii="Times New Roman" w:hAnsi="Times New Roman" w:cs="Times New Roman"/>
        </w:rPr>
        <w:t xml:space="preserve">ach year </w:t>
      </w:r>
      <w:r w:rsidR="00360868">
        <w:rPr>
          <w:rFonts w:ascii="Times New Roman" w:hAnsi="Times New Roman" w:cs="Times New Roman"/>
        </w:rPr>
        <w:t>are</w:t>
      </w:r>
      <w:r w:rsidR="007117B9">
        <w:rPr>
          <w:rFonts w:ascii="Times New Roman" w:hAnsi="Times New Roman" w:cs="Times New Roman"/>
        </w:rPr>
        <w:t xml:space="preserve"> further </w:t>
      </w:r>
      <w:r w:rsidR="009D3B2B">
        <w:rPr>
          <w:rFonts w:ascii="Times New Roman" w:hAnsi="Times New Roman" w:cs="Times New Roman"/>
        </w:rPr>
        <w:t xml:space="preserve">grouped </w:t>
      </w:r>
      <w:r w:rsidR="00360868">
        <w:rPr>
          <w:rFonts w:ascii="Times New Roman" w:hAnsi="Times New Roman" w:cs="Times New Roman"/>
        </w:rPr>
        <w:t>into</w:t>
      </w:r>
      <w:r w:rsidR="009D3B2B">
        <w:rPr>
          <w:rFonts w:ascii="Times New Roman" w:hAnsi="Times New Roman" w:cs="Times New Roman"/>
        </w:rPr>
        <w:t xml:space="preserve"> “threads”. </w:t>
      </w:r>
    </w:p>
    <w:p w14:paraId="23CA4917" w14:textId="67AFF642" w:rsidR="005026A2" w:rsidRDefault="005026A2" w:rsidP="00B04F7F">
      <w:pPr>
        <w:spacing w:line="480" w:lineRule="auto"/>
        <w:rPr>
          <w:rFonts w:ascii="Times New Roman" w:hAnsi="Times New Roman" w:cs="Times New Roman"/>
          <w:b/>
          <w:bCs/>
        </w:rPr>
      </w:pPr>
      <w:r w:rsidRPr="00DB67CA">
        <w:rPr>
          <w:rFonts w:ascii="Times New Roman" w:hAnsi="Times New Roman" w:cs="Times New Roman"/>
          <w:b/>
          <w:bCs/>
        </w:rPr>
        <w:t xml:space="preserve">Supplementary Figure </w:t>
      </w:r>
      <w:r>
        <w:rPr>
          <w:rFonts w:ascii="Times New Roman" w:hAnsi="Times New Roman" w:cs="Times New Roman"/>
          <w:b/>
          <w:bCs/>
        </w:rPr>
        <w:t>2</w:t>
      </w:r>
      <w:r w:rsidRPr="00DB67CA">
        <w:rPr>
          <w:rFonts w:ascii="Times New Roman" w:hAnsi="Times New Roman" w:cs="Times New Roman"/>
          <w:b/>
          <w:bCs/>
        </w:rPr>
        <w:t>:</w:t>
      </w:r>
    </w:p>
    <w:p w14:paraId="33E311CE" w14:textId="3889A88E" w:rsidR="00360868" w:rsidRPr="00360868" w:rsidRDefault="00360868" w:rsidP="00B04F7F">
      <w:pPr>
        <w:spacing w:line="480" w:lineRule="auto"/>
        <w:rPr>
          <w:rFonts w:ascii="Times New Roman" w:hAnsi="Times New Roman" w:cs="Times New Roman"/>
        </w:rPr>
      </w:pPr>
      <w:r>
        <w:rPr>
          <w:rFonts w:ascii="Times New Roman" w:hAnsi="Times New Roman" w:cs="Times New Roman"/>
        </w:rPr>
        <w:t xml:space="preserve">The figure depicts an example worksheet provided to the students for guidance on how to prepare their assignments. </w:t>
      </w:r>
      <w:r w:rsidR="00BE109D">
        <w:rPr>
          <w:rFonts w:ascii="Times New Roman" w:hAnsi="Times New Roman" w:cs="Times New Roman"/>
        </w:rPr>
        <w:t>The assignment of points</w:t>
      </w:r>
      <w:r w:rsidR="00314B2F">
        <w:rPr>
          <w:rFonts w:ascii="Times New Roman" w:hAnsi="Times New Roman" w:cs="Times New Roman"/>
        </w:rPr>
        <w:t>,</w:t>
      </w:r>
      <w:r w:rsidR="00BE109D">
        <w:rPr>
          <w:rFonts w:ascii="Times New Roman" w:hAnsi="Times New Roman" w:cs="Times New Roman"/>
        </w:rPr>
        <w:t xml:space="preserve"> as per the rubric</w:t>
      </w:r>
      <w:r w:rsidR="00314B2F">
        <w:rPr>
          <w:rFonts w:ascii="Times New Roman" w:hAnsi="Times New Roman" w:cs="Times New Roman"/>
        </w:rPr>
        <w:t>,</w:t>
      </w:r>
      <w:r w:rsidR="00BE109D">
        <w:rPr>
          <w:rFonts w:ascii="Times New Roman" w:hAnsi="Times New Roman" w:cs="Times New Roman"/>
        </w:rPr>
        <w:t xml:space="preserve"> is </w:t>
      </w:r>
      <w:r w:rsidR="00314B2F">
        <w:rPr>
          <w:rFonts w:ascii="Times New Roman" w:hAnsi="Times New Roman" w:cs="Times New Roman"/>
        </w:rPr>
        <w:t>indicated</w:t>
      </w:r>
      <w:r w:rsidR="00BE109D">
        <w:rPr>
          <w:rFonts w:ascii="Times New Roman" w:hAnsi="Times New Roman" w:cs="Times New Roman"/>
        </w:rPr>
        <w:t xml:space="preserve"> in parentheses next to each section. </w:t>
      </w:r>
    </w:p>
    <w:p w14:paraId="688A7A63" w14:textId="68B7D9B8" w:rsidR="00F956D7" w:rsidRDefault="00F956D7" w:rsidP="00F956D7">
      <w:pPr>
        <w:spacing w:line="480" w:lineRule="auto"/>
        <w:rPr>
          <w:rFonts w:ascii="Times New Roman" w:hAnsi="Times New Roman" w:cs="Times New Roman"/>
          <w:b/>
          <w:bCs/>
        </w:rPr>
      </w:pPr>
      <w:r w:rsidRPr="00DB67CA">
        <w:rPr>
          <w:rFonts w:ascii="Times New Roman" w:hAnsi="Times New Roman" w:cs="Times New Roman"/>
          <w:b/>
          <w:bCs/>
        </w:rPr>
        <w:t xml:space="preserve">Supplementary Figure </w:t>
      </w:r>
      <w:r>
        <w:rPr>
          <w:rFonts w:ascii="Times New Roman" w:hAnsi="Times New Roman" w:cs="Times New Roman"/>
          <w:b/>
          <w:bCs/>
        </w:rPr>
        <w:t>3</w:t>
      </w:r>
      <w:r w:rsidRPr="00DB67CA">
        <w:rPr>
          <w:rFonts w:ascii="Times New Roman" w:hAnsi="Times New Roman" w:cs="Times New Roman"/>
          <w:b/>
          <w:bCs/>
        </w:rPr>
        <w:t>:</w:t>
      </w:r>
    </w:p>
    <w:p w14:paraId="36DE035A" w14:textId="6ED44D98" w:rsidR="00E35BED" w:rsidRPr="00DB67CA" w:rsidRDefault="00F956D7" w:rsidP="00E35BED">
      <w:pPr>
        <w:spacing w:line="480" w:lineRule="auto"/>
        <w:rPr>
          <w:rFonts w:ascii="Times New Roman" w:hAnsi="Times New Roman" w:cs="Times New Roman"/>
        </w:rPr>
      </w:pPr>
      <w:r>
        <w:rPr>
          <w:rFonts w:ascii="Times New Roman" w:hAnsi="Times New Roman" w:cs="Times New Roman"/>
        </w:rPr>
        <w:t xml:space="preserve">The </w:t>
      </w:r>
      <w:r w:rsidR="003A44EB">
        <w:rPr>
          <w:rFonts w:ascii="Times New Roman" w:hAnsi="Times New Roman" w:cs="Times New Roman"/>
        </w:rPr>
        <w:t xml:space="preserve">survey </w:t>
      </w:r>
      <w:r>
        <w:rPr>
          <w:rFonts w:ascii="Times New Roman" w:hAnsi="Times New Roman" w:cs="Times New Roman"/>
        </w:rPr>
        <w:t>question</w:t>
      </w:r>
      <w:r w:rsidR="003A44EB">
        <w:rPr>
          <w:rFonts w:ascii="Times New Roman" w:hAnsi="Times New Roman" w:cs="Times New Roman"/>
        </w:rPr>
        <w:t>naire is</w:t>
      </w:r>
      <w:r>
        <w:rPr>
          <w:rFonts w:ascii="Times New Roman" w:hAnsi="Times New Roman" w:cs="Times New Roman"/>
        </w:rPr>
        <w:t xml:space="preserve"> shown in </w:t>
      </w:r>
      <w:r w:rsidR="003A44EB">
        <w:rPr>
          <w:rFonts w:ascii="Times New Roman" w:hAnsi="Times New Roman" w:cs="Times New Roman"/>
        </w:rPr>
        <w:t xml:space="preserve">the figure. </w:t>
      </w:r>
      <w:r w:rsidR="002A04C8">
        <w:rPr>
          <w:rFonts w:ascii="Times New Roman" w:hAnsi="Times New Roman" w:cs="Times New Roman"/>
        </w:rPr>
        <w:t xml:space="preserve">The students can choose one of the </w:t>
      </w:r>
      <w:r w:rsidR="00E35BED">
        <w:rPr>
          <w:rFonts w:ascii="Times New Roman" w:hAnsi="Times New Roman" w:cs="Times New Roman"/>
        </w:rPr>
        <w:t>options from “</w:t>
      </w:r>
      <w:r w:rsidR="00E35BED" w:rsidRPr="00DB67CA">
        <w:rPr>
          <w:rFonts w:ascii="Times New Roman" w:eastAsia="Arial" w:hAnsi="Times New Roman" w:cs="Times New Roman"/>
        </w:rPr>
        <w:t>Strongly disagree-Disagree-Neither agree nor disagree-Agree-Strongly agree</w:t>
      </w:r>
      <w:r w:rsidR="00E35BED">
        <w:rPr>
          <w:rFonts w:ascii="Times New Roman" w:eastAsia="Arial" w:hAnsi="Times New Roman" w:cs="Times New Roman"/>
        </w:rPr>
        <w:t>” for each subsection (For example 1a, 1b, 2a, 2b</w:t>
      </w:r>
      <w:r w:rsidR="00E61F58">
        <w:rPr>
          <w:rFonts w:ascii="Times New Roman" w:eastAsia="Arial" w:hAnsi="Times New Roman" w:cs="Times New Roman"/>
        </w:rPr>
        <w:t>,</w:t>
      </w:r>
      <w:r w:rsidR="00E35BED">
        <w:rPr>
          <w:rFonts w:ascii="Times New Roman" w:eastAsia="Arial" w:hAnsi="Times New Roman" w:cs="Times New Roman"/>
        </w:rPr>
        <w:t xml:space="preserve"> </w:t>
      </w:r>
      <w:r w:rsidR="00E61F58">
        <w:rPr>
          <w:rFonts w:ascii="Times New Roman" w:eastAsia="Arial" w:hAnsi="Times New Roman" w:cs="Times New Roman"/>
        </w:rPr>
        <w:t>etc.</w:t>
      </w:r>
      <w:r w:rsidR="00E35BED">
        <w:rPr>
          <w:rFonts w:ascii="Times New Roman" w:eastAsia="Arial" w:hAnsi="Times New Roman" w:cs="Times New Roman"/>
        </w:rPr>
        <w:t>)</w:t>
      </w:r>
      <w:r w:rsidR="00E61F58">
        <w:rPr>
          <w:rFonts w:ascii="Times New Roman" w:eastAsia="Arial" w:hAnsi="Times New Roman" w:cs="Times New Roman"/>
        </w:rPr>
        <w:t xml:space="preserve"> </w:t>
      </w:r>
      <w:r w:rsidR="008B7B42">
        <w:rPr>
          <w:rFonts w:ascii="Times New Roman" w:eastAsia="Arial" w:hAnsi="Times New Roman" w:cs="Times New Roman"/>
        </w:rPr>
        <w:t>from</w:t>
      </w:r>
      <w:r w:rsidR="00E61F58">
        <w:rPr>
          <w:rFonts w:ascii="Times New Roman" w:eastAsia="Arial" w:hAnsi="Times New Roman" w:cs="Times New Roman"/>
        </w:rPr>
        <w:t xml:space="preserve"> questions 1-5</w:t>
      </w:r>
      <w:r w:rsidR="00E35BED">
        <w:rPr>
          <w:rFonts w:ascii="Times New Roman" w:eastAsia="Arial" w:hAnsi="Times New Roman" w:cs="Times New Roman"/>
        </w:rPr>
        <w:t>.</w:t>
      </w:r>
      <w:r w:rsidR="00E61F58">
        <w:rPr>
          <w:rFonts w:ascii="Times New Roman" w:eastAsia="Arial" w:hAnsi="Times New Roman" w:cs="Times New Roman"/>
        </w:rPr>
        <w:t xml:space="preserve"> Q</w:t>
      </w:r>
      <w:r w:rsidR="00E61F58">
        <w:rPr>
          <w:rFonts w:ascii="Times New Roman" w:eastAsia="Arial" w:hAnsi="Times New Roman" w:cs="Times New Roman"/>
        </w:rPr>
        <w:t>uestion</w:t>
      </w:r>
      <w:r w:rsidR="00E61F58">
        <w:rPr>
          <w:rFonts w:ascii="Times New Roman" w:eastAsia="Arial" w:hAnsi="Times New Roman" w:cs="Times New Roman"/>
        </w:rPr>
        <w:t xml:space="preserve">s 6a and 6b are open-ended. </w:t>
      </w:r>
    </w:p>
    <w:p w14:paraId="438377D8" w14:textId="7E33564E" w:rsidR="005026A2" w:rsidRDefault="005026A2">
      <w:pPr>
        <w:rPr>
          <w:rFonts w:ascii="Times New Roman" w:hAnsi="Times New Roman" w:cs="Times New Roman"/>
          <w:b/>
          <w:bCs/>
        </w:rPr>
      </w:pPr>
      <w:r>
        <w:rPr>
          <w:rFonts w:ascii="Times New Roman" w:hAnsi="Times New Roman" w:cs="Times New Roman"/>
          <w:b/>
          <w:bCs/>
        </w:rPr>
        <w:br w:type="page"/>
      </w:r>
    </w:p>
    <w:p w14:paraId="15EBF293" w14:textId="684F4128" w:rsidR="005026A2" w:rsidRPr="00DB67CA" w:rsidRDefault="005026A2" w:rsidP="005026A2">
      <w:pPr>
        <w:spacing w:line="480" w:lineRule="auto"/>
        <w:rPr>
          <w:rFonts w:ascii="Times New Roman" w:hAnsi="Times New Roman" w:cs="Times New Roman"/>
          <w:b/>
          <w:bCs/>
        </w:rPr>
      </w:pPr>
      <w:r w:rsidRPr="00DB67CA">
        <w:rPr>
          <w:rFonts w:ascii="Times New Roman" w:hAnsi="Times New Roman" w:cs="Times New Roman"/>
          <w:b/>
          <w:bCs/>
        </w:rPr>
        <w:lastRenderedPageBreak/>
        <w:t xml:space="preserve">Supplementary Figure </w:t>
      </w:r>
      <w:r>
        <w:rPr>
          <w:rFonts w:ascii="Times New Roman" w:hAnsi="Times New Roman" w:cs="Times New Roman"/>
          <w:b/>
          <w:bCs/>
        </w:rPr>
        <w:t>1</w:t>
      </w:r>
      <w:r w:rsidRPr="00DB67CA">
        <w:rPr>
          <w:rFonts w:ascii="Times New Roman" w:hAnsi="Times New Roman" w:cs="Times New Roman"/>
          <w:b/>
          <w:bCs/>
        </w:rPr>
        <w:t>:</w:t>
      </w:r>
    </w:p>
    <w:p w14:paraId="2A8F9322" w14:textId="77777777" w:rsidR="00B04F7F" w:rsidRDefault="00B04F7F" w:rsidP="00B04F7F">
      <w:pPr>
        <w:spacing w:line="480" w:lineRule="auto"/>
        <w:rPr>
          <w:rFonts w:ascii="Times New Roman" w:hAnsi="Times New Roman" w:cs="Times New Roman"/>
          <w:b/>
          <w:bCs/>
        </w:rPr>
      </w:pPr>
      <w:r>
        <w:rPr>
          <w:noProof/>
        </w:rPr>
        <w:drawing>
          <wp:inline distT="0" distB="0" distL="0" distR="0" wp14:anchorId="189039FB" wp14:editId="700D12D8">
            <wp:extent cx="6070600" cy="3098165"/>
            <wp:effectExtent l="0" t="0" r="635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070600" cy="3098165"/>
                    </a:xfrm>
                    <a:prstGeom prst="rect">
                      <a:avLst/>
                    </a:prstGeom>
                  </pic:spPr>
                </pic:pic>
              </a:graphicData>
            </a:graphic>
          </wp:inline>
        </w:drawing>
      </w:r>
      <w:r>
        <w:rPr>
          <w:noProof/>
        </w:rPr>
        <w:drawing>
          <wp:inline distT="0" distB="0" distL="0" distR="0" wp14:anchorId="4098DF4E" wp14:editId="43BB9079">
            <wp:extent cx="6070600" cy="2993390"/>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070600" cy="2993390"/>
                    </a:xfrm>
                    <a:prstGeom prst="rect">
                      <a:avLst/>
                    </a:prstGeom>
                  </pic:spPr>
                </pic:pic>
              </a:graphicData>
            </a:graphic>
          </wp:inline>
        </w:drawing>
      </w:r>
      <w:r>
        <w:rPr>
          <w:rFonts w:ascii="Times New Roman" w:hAnsi="Times New Roman" w:cs="Times New Roman"/>
          <w:b/>
          <w:bCs/>
        </w:rPr>
        <w:br w:type="page"/>
      </w:r>
    </w:p>
    <w:p w14:paraId="40A567B2" w14:textId="65EDFF61" w:rsidR="008920A0" w:rsidRDefault="00B04F7F" w:rsidP="00B04F7F">
      <w:pPr>
        <w:spacing w:line="480" w:lineRule="auto"/>
        <w:rPr>
          <w:rFonts w:ascii="Times New Roman" w:hAnsi="Times New Roman" w:cs="Times New Roman"/>
          <w:b/>
          <w:bCs/>
        </w:rPr>
      </w:pPr>
      <w:r w:rsidRPr="00DB67CA">
        <w:rPr>
          <w:rFonts w:ascii="Times New Roman" w:hAnsi="Times New Roman" w:cs="Times New Roman"/>
          <w:b/>
          <w:bCs/>
        </w:rPr>
        <w:lastRenderedPageBreak/>
        <w:t xml:space="preserve">Supplementary Figure </w:t>
      </w:r>
      <w:r>
        <w:rPr>
          <w:rFonts w:ascii="Times New Roman" w:hAnsi="Times New Roman" w:cs="Times New Roman"/>
          <w:b/>
          <w:bCs/>
        </w:rPr>
        <w:t>2</w:t>
      </w:r>
      <w:r w:rsidRPr="00DB67CA">
        <w:rPr>
          <w:rFonts w:ascii="Times New Roman" w:hAnsi="Times New Roman" w:cs="Times New Roman"/>
          <w:b/>
          <w:bCs/>
        </w:rPr>
        <w:t>:</w:t>
      </w:r>
    </w:p>
    <w:p w14:paraId="4B04D2CC" w14:textId="77777777" w:rsidR="00C82084" w:rsidRDefault="00C82084" w:rsidP="00C82084">
      <w:pPr>
        <w:pStyle w:val="Title"/>
      </w:pPr>
      <w:r>
        <w:t>SDL:</w:t>
      </w:r>
      <w:r>
        <w:rPr>
          <w:spacing w:val="-8"/>
        </w:rPr>
        <w:t xml:space="preserve"> </w:t>
      </w:r>
      <w:r>
        <w:t>Self</w:t>
      </w:r>
      <w:r>
        <w:rPr>
          <w:spacing w:val="-5"/>
        </w:rPr>
        <w:t xml:space="preserve"> </w:t>
      </w:r>
      <w:r>
        <w:t>Directed</w:t>
      </w:r>
      <w:r>
        <w:rPr>
          <w:spacing w:val="-5"/>
        </w:rPr>
        <w:t xml:space="preserve"> </w:t>
      </w:r>
      <w:r>
        <w:t>Learning</w:t>
      </w:r>
      <w:r>
        <w:rPr>
          <w:spacing w:val="-6"/>
        </w:rPr>
        <w:t xml:space="preserve"> </w:t>
      </w:r>
      <w:r>
        <w:t>–</w:t>
      </w:r>
      <w:r>
        <w:rPr>
          <w:spacing w:val="-6"/>
        </w:rPr>
        <w:t xml:space="preserve"> </w:t>
      </w:r>
      <w:r>
        <w:t>Anticoagulation,</w:t>
      </w:r>
      <w:r>
        <w:rPr>
          <w:spacing w:val="-6"/>
        </w:rPr>
        <w:t xml:space="preserve"> </w:t>
      </w:r>
      <w:r w:rsidRPr="00C82084">
        <w:t>WORKSHEET</w:t>
      </w:r>
      <w:r w:rsidRPr="00C82084">
        <w:rPr>
          <w:spacing w:val="-4"/>
        </w:rPr>
        <w:t xml:space="preserve"> </w:t>
      </w:r>
      <w:r w:rsidRPr="00C82084">
        <w:rPr>
          <w:spacing w:val="-2"/>
        </w:rPr>
        <w:t>EXAMPLE</w:t>
      </w:r>
    </w:p>
    <w:p w14:paraId="1317AFE2" w14:textId="77777777" w:rsidR="00C82084" w:rsidRDefault="00C82084" w:rsidP="00C82084">
      <w:pPr>
        <w:pStyle w:val="Heading1"/>
        <w:spacing w:before="184"/>
        <w:rPr>
          <w:u w:val="none"/>
        </w:rPr>
      </w:pPr>
      <w:r>
        <w:t>Clinical</w:t>
      </w:r>
      <w:r>
        <w:rPr>
          <w:spacing w:val="-3"/>
        </w:rPr>
        <w:t xml:space="preserve"> </w:t>
      </w:r>
      <w:r>
        <w:t>Question</w:t>
      </w:r>
      <w:r>
        <w:rPr>
          <w:spacing w:val="-3"/>
        </w:rPr>
        <w:t xml:space="preserve"> </w:t>
      </w:r>
      <w:r>
        <w:t>/</w:t>
      </w:r>
      <w:r>
        <w:rPr>
          <w:spacing w:val="-1"/>
        </w:rPr>
        <w:t xml:space="preserve"> </w:t>
      </w:r>
      <w:r>
        <w:t>Learning</w:t>
      </w:r>
      <w:r>
        <w:rPr>
          <w:spacing w:val="-2"/>
        </w:rPr>
        <w:t xml:space="preserve"> </w:t>
      </w:r>
      <w:r>
        <w:t>Objective</w:t>
      </w:r>
      <w:r>
        <w:rPr>
          <w:spacing w:val="-3"/>
        </w:rPr>
        <w:t xml:space="preserve"> </w:t>
      </w:r>
      <w:r>
        <w:rPr>
          <w:u w:val="none"/>
        </w:rPr>
        <w:t>(0-2</w:t>
      </w:r>
      <w:r>
        <w:rPr>
          <w:spacing w:val="-2"/>
          <w:u w:val="none"/>
        </w:rPr>
        <w:t xml:space="preserve"> points)</w:t>
      </w:r>
    </w:p>
    <w:p w14:paraId="0EC3276E" w14:textId="77777777" w:rsidR="00C82084" w:rsidRDefault="00C82084" w:rsidP="00C82084">
      <w:pPr>
        <w:pStyle w:val="BodyText"/>
        <w:spacing w:before="185"/>
        <w:ind w:left="100"/>
      </w:pPr>
      <w:r>
        <w:t>For this</w:t>
      </w:r>
      <w:r>
        <w:rPr>
          <w:spacing w:val="-3"/>
        </w:rPr>
        <w:t xml:space="preserve"> </w:t>
      </w:r>
      <w:r>
        <w:t>patient</w:t>
      </w:r>
      <w:r>
        <w:rPr>
          <w:spacing w:val="-2"/>
        </w:rPr>
        <w:t xml:space="preserve"> </w:t>
      </w:r>
      <w:r>
        <w:t>with</w:t>
      </w:r>
      <w:r>
        <w:rPr>
          <w:spacing w:val="-2"/>
        </w:rPr>
        <w:t xml:space="preserve"> </w:t>
      </w:r>
      <w:r>
        <w:t>a</w:t>
      </w:r>
      <w:r>
        <w:rPr>
          <w:spacing w:val="-3"/>
        </w:rPr>
        <w:t xml:space="preserve"> </w:t>
      </w:r>
      <w:r>
        <w:t>pulmonary embolism,</w:t>
      </w:r>
      <w:r>
        <w:rPr>
          <w:spacing w:val="-3"/>
        </w:rPr>
        <w:t xml:space="preserve"> </w:t>
      </w:r>
      <w:r>
        <w:t>why</w:t>
      </w:r>
      <w:r>
        <w:rPr>
          <w:spacing w:val="-4"/>
        </w:rPr>
        <w:t xml:space="preserve"> </w:t>
      </w:r>
      <w:r>
        <w:t>did</w:t>
      </w:r>
      <w:r>
        <w:rPr>
          <w:spacing w:val="1"/>
        </w:rPr>
        <w:t xml:space="preserve"> </w:t>
      </w:r>
      <w:r>
        <w:t>she</w:t>
      </w:r>
      <w:r>
        <w:rPr>
          <w:spacing w:val="-2"/>
        </w:rPr>
        <w:t xml:space="preserve"> </w:t>
      </w:r>
      <w:r>
        <w:t>not</w:t>
      </w:r>
      <w:r>
        <w:rPr>
          <w:spacing w:val="1"/>
        </w:rPr>
        <w:t xml:space="preserve"> </w:t>
      </w:r>
      <w:r>
        <w:t>receive</w:t>
      </w:r>
      <w:r>
        <w:rPr>
          <w:spacing w:val="-1"/>
        </w:rPr>
        <w:t xml:space="preserve"> </w:t>
      </w:r>
      <w:r>
        <w:t>r-</w:t>
      </w:r>
      <w:r>
        <w:rPr>
          <w:spacing w:val="-4"/>
        </w:rPr>
        <w:t>tPA?</w:t>
      </w:r>
    </w:p>
    <w:p w14:paraId="6FCC4E85" w14:textId="77777777" w:rsidR="00C82084" w:rsidRDefault="00C82084" w:rsidP="00C82084">
      <w:pPr>
        <w:pStyle w:val="Heading1"/>
        <w:spacing w:before="182"/>
        <w:rPr>
          <w:u w:val="none"/>
        </w:rPr>
      </w:pPr>
      <w:r>
        <w:t>Conclusion</w:t>
      </w:r>
      <w:r>
        <w:rPr>
          <w:spacing w:val="-2"/>
        </w:rPr>
        <w:t xml:space="preserve"> </w:t>
      </w:r>
      <w:r>
        <w:t>/</w:t>
      </w:r>
      <w:r>
        <w:rPr>
          <w:spacing w:val="-1"/>
        </w:rPr>
        <w:t xml:space="preserve"> </w:t>
      </w:r>
      <w:r>
        <w:t>Points</w:t>
      </w:r>
      <w:r>
        <w:rPr>
          <w:spacing w:val="-2"/>
        </w:rPr>
        <w:t xml:space="preserve"> </w:t>
      </w:r>
      <w:r>
        <w:t>to</w:t>
      </w:r>
      <w:r>
        <w:rPr>
          <w:spacing w:val="-1"/>
        </w:rPr>
        <w:t xml:space="preserve"> </w:t>
      </w:r>
      <w:r>
        <w:t>Share</w:t>
      </w:r>
      <w:r>
        <w:rPr>
          <w:spacing w:val="-3"/>
          <w:u w:val="none"/>
        </w:rPr>
        <w:t xml:space="preserve"> </w:t>
      </w:r>
      <w:r>
        <w:rPr>
          <w:u w:val="none"/>
        </w:rPr>
        <w:t>(0-2</w:t>
      </w:r>
      <w:r>
        <w:rPr>
          <w:spacing w:val="-3"/>
          <w:u w:val="none"/>
        </w:rPr>
        <w:t xml:space="preserve"> </w:t>
      </w:r>
      <w:r>
        <w:rPr>
          <w:spacing w:val="-2"/>
          <w:u w:val="none"/>
        </w:rPr>
        <w:t>points)</w:t>
      </w:r>
    </w:p>
    <w:p w14:paraId="0BED40ED" w14:textId="77777777" w:rsidR="00C82084" w:rsidRDefault="00C82084" w:rsidP="00C82084">
      <w:pPr>
        <w:pStyle w:val="BodyText"/>
        <w:spacing w:before="187" w:line="259" w:lineRule="auto"/>
        <w:ind w:left="100" w:right="154"/>
      </w:pPr>
      <w:r>
        <w:rPr>
          <w:b/>
        </w:rPr>
        <w:t xml:space="preserve">I agree with this management. </w:t>
      </w:r>
      <w:r>
        <w:t>This patient was not given tPA for acute pulmonary embolism as the risk of bleeding exceeded the benefit of treatment at initial presentation, and she continued to remain hemodynamically stable and improve over the following 24 hours of the hospitalization. While this patient did not have an absolute contraindication to tPA, high-risk factors for poor prognosis with PE were absent (she was initially hypotensive and mildly tachycardic which responded/resolved with IV fluid, there were no signs of RV dysfunction – with</w:t>
      </w:r>
      <w:r>
        <w:rPr>
          <w:spacing w:val="-1"/>
        </w:rPr>
        <w:t xml:space="preserve"> </w:t>
      </w:r>
      <w:r>
        <w:t>very</w:t>
      </w:r>
      <w:r>
        <w:rPr>
          <w:spacing w:val="-2"/>
        </w:rPr>
        <w:t xml:space="preserve"> </w:t>
      </w:r>
      <w:r>
        <w:t>mild</w:t>
      </w:r>
      <w:r>
        <w:rPr>
          <w:spacing w:val="-3"/>
        </w:rPr>
        <w:t xml:space="preserve"> </w:t>
      </w:r>
      <w:r>
        <w:t>elevation</w:t>
      </w:r>
      <w:r>
        <w:rPr>
          <w:spacing w:val="-3"/>
        </w:rPr>
        <w:t xml:space="preserve"> </w:t>
      </w:r>
      <w:r>
        <w:t>in</w:t>
      </w:r>
      <w:r>
        <w:rPr>
          <w:spacing w:val="-1"/>
        </w:rPr>
        <w:t xml:space="preserve"> </w:t>
      </w:r>
      <w:r>
        <w:t>BNP/troponin-I,</w:t>
      </w:r>
      <w:r>
        <w:rPr>
          <w:spacing w:val="-1"/>
        </w:rPr>
        <w:t xml:space="preserve"> </w:t>
      </w:r>
      <w:r>
        <w:t>there</w:t>
      </w:r>
      <w:r>
        <w:rPr>
          <w:spacing w:val="-6"/>
        </w:rPr>
        <w:t xml:space="preserve"> </w:t>
      </w:r>
      <w:r>
        <w:t>were</w:t>
      </w:r>
      <w:r>
        <w:rPr>
          <w:spacing w:val="-1"/>
        </w:rPr>
        <w:t xml:space="preserve"> </w:t>
      </w:r>
      <w:r>
        <w:t>no</w:t>
      </w:r>
      <w:r>
        <w:rPr>
          <w:spacing w:val="-3"/>
        </w:rPr>
        <w:t xml:space="preserve"> </w:t>
      </w:r>
      <w:r>
        <w:t>additional</w:t>
      </w:r>
      <w:r>
        <w:rPr>
          <w:spacing w:val="-4"/>
        </w:rPr>
        <w:t xml:space="preserve"> </w:t>
      </w:r>
      <w:r>
        <w:t>DVT</w:t>
      </w:r>
      <w:r>
        <w:rPr>
          <w:spacing w:val="-3"/>
        </w:rPr>
        <w:t xml:space="preserve"> </w:t>
      </w:r>
      <w:r>
        <w:t>seen</w:t>
      </w:r>
      <w:r>
        <w:rPr>
          <w:spacing w:val="-3"/>
        </w:rPr>
        <w:t xml:space="preserve"> </w:t>
      </w:r>
      <w:r>
        <w:t>on</w:t>
      </w:r>
      <w:r>
        <w:rPr>
          <w:spacing w:val="-3"/>
        </w:rPr>
        <w:t xml:space="preserve"> </w:t>
      </w:r>
      <w:r>
        <w:t>ultrasound</w:t>
      </w:r>
      <w:r>
        <w:rPr>
          <w:spacing w:val="-3"/>
        </w:rPr>
        <w:t xml:space="preserve"> </w:t>
      </w:r>
      <w:r>
        <w:t>of lower extremities, she was not hypoxic, and without additional significant comorbidities).</w:t>
      </w:r>
    </w:p>
    <w:p w14:paraId="27E07A46" w14:textId="77777777" w:rsidR="00C82084" w:rsidRDefault="00C82084" w:rsidP="00C82084">
      <w:pPr>
        <w:pStyle w:val="Heading1"/>
        <w:rPr>
          <w:u w:val="none"/>
        </w:rPr>
      </w:pPr>
      <w:r>
        <w:t>Top</w:t>
      </w:r>
      <w:r>
        <w:rPr>
          <w:spacing w:val="-4"/>
        </w:rPr>
        <w:t xml:space="preserve"> </w:t>
      </w:r>
      <w:r>
        <w:t>3</w:t>
      </w:r>
      <w:r>
        <w:rPr>
          <w:spacing w:val="-1"/>
        </w:rPr>
        <w:t xml:space="preserve"> </w:t>
      </w:r>
      <w:r>
        <w:t>Relevant</w:t>
      </w:r>
      <w:r>
        <w:rPr>
          <w:spacing w:val="-1"/>
        </w:rPr>
        <w:t xml:space="preserve"> </w:t>
      </w:r>
      <w:r>
        <w:t>Facts,</w:t>
      </w:r>
      <w:r>
        <w:rPr>
          <w:spacing w:val="-3"/>
        </w:rPr>
        <w:t xml:space="preserve"> </w:t>
      </w:r>
      <w:r>
        <w:t>Source,</w:t>
      </w:r>
      <w:r>
        <w:rPr>
          <w:spacing w:val="-2"/>
        </w:rPr>
        <w:t xml:space="preserve"> </w:t>
      </w:r>
      <w:r>
        <w:t>and</w:t>
      </w:r>
      <w:r>
        <w:rPr>
          <w:spacing w:val="-3"/>
        </w:rPr>
        <w:t xml:space="preserve"> </w:t>
      </w:r>
      <w:r>
        <w:t>Level</w:t>
      </w:r>
      <w:r>
        <w:rPr>
          <w:spacing w:val="-1"/>
        </w:rPr>
        <w:t xml:space="preserve"> </w:t>
      </w:r>
      <w:r>
        <w:t>of</w:t>
      </w:r>
      <w:r>
        <w:rPr>
          <w:spacing w:val="-1"/>
        </w:rPr>
        <w:t xml:space="preserve"> </w:t>
      </w:r>
      <w:r>
        <w:t>Credibility</w:t>
      </w:r>
      <w:r>
        <w:rPr>
          <w:spacing w:val="-2"/>
          <w:u w:val="none"/>
        </w:rPr>
        <w:t xml:space="preserve"> </w:t>
      </w:r>
      <w:r>
        <w:rPr>
          <w:u w:val="none"/>
        </w:rPr>
        <w:t>(0-4</w:t>
      </w:r>
      <w:r>
        <w:rPr>
          <w:spacing w:val="-3"/>
          <w:u w:val="none"/>
        </w:rPr>
        <w:t xml:space="preserve"> </w:t>
      </w:r>
      <w:r>
        <w:rPr>
          <w:spacing w:val="-2"/>
          <w:u w:val="none"/>
        </w:rPr>
        <w:t>points)</w:t>
      </w:r>
    </w:p>
    <w:p w14:paraId="69BF8F6B" w14:textId="77777777" w:rsidR="00C82084" w:rsidRDefault="00C82084" w:rsidP="00C82084">
      <w:pPr>
        <w:pStyle w:val="BodyText"/>
        <w:spacing w:before="4" w:after="1"/>
        <w:rPr>
          <w:b/>
          <w:sz w:val="15"/>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48"/>
        <w:gridCol w:w="3485"/>
        <w:gridCol w:w="1318"/>
      </w:tblGrid>
      <w:tr w:rsidR="00C82084" w14:paraId="04302B51" w14:textId="77777777" w:rsidTr="002D2A94">
        <w:trPr>
          <w:trHeight w:val="1170"/>
        </w:trPr>
        <w:tc>
          <w:tcPr>
            <w:tcW w:w="4548" w:type="dxa"/>
          </w:tcPr>
          <w:p w14:paraId="74EDDA5A" w14:textId="77777777" w:rsidR="00C82084" w:rsidRDefault="00C82084" w:rsidP="002D2A94">
            <w:pPr>
              <w:pStyle w:val="TableParagraph"/>
              <w:spacing w:before="11"/>
              <w:ind w:left="0"/>
              <w:rPr>
                <w:b/>
                <w:sz w:val="23"/>
              </w:rPr>
            </w:pPr>
          </w:p>
          <w:p w14:paraId="63DEB0C5" w14:textId="77777777" w:rsidR="00C82084" w:rsidRDefault="00C82084" w:rsidP="002D2A94">
            <w:pPr>
              <w:pStyle w:val="TableParagraph"/>
              <w:ind w:right="113"/>
              <w:rPr>
                <w:sz w:val="24"/>
              </w:rPr>
            </w:pPr>
            <w:r>
              <w:rPr>
                <w:sz w:val="24"/>
              </w:rPr>
              <w:t>Relevant</w:t>
            </w:r>
            <w:r>
              <w:rPr>
                <w:spacing w:val="-9"/>
                <w:sz w:val="24"/>
              </w:rPr>
              <w:t xml:space="preserve"> </w:t>
            </w:r>
            <w:r>
              <w:rPr>
                <w:sz w:val="24"/>
              </w:rPr>
              <w:t>Information</w:t>
            </w:r>
            <w:r>
              <w:rPr>
                <w:spacing w:val="-9"/>
                <w:sz w:val="24"/>
              </w:rPr>
              <w:t xml:space="preserve"> </w:t>
            </w:r>
            <w:r>
              <w:rPr>
                <w:sz w:val="24"/>
              </w:rPr>
              <w:t>Reviewed</w:t>
            </w:r>
            <w:r>
              <w:rPr>
                <w:spacing w:val="-7"/>
                <w:sz w:val="24"/>
              </w:rPr>
              <w:t xml:space="preserve"> </w:t>
            </w:r>
            <w:r>
              <w:rPr>
                <w:sz w:val="24"/>
              </w:rPr>
              <w:t>Relating</w:t>
            </w:r>
            <w:r>
              <w:rPr>
                <w:spacing w:val="-10"/>
                <w:sz w:val="24"/>
              </w:rPr>
              <w:t xml:space="preserve"> </w:t>
            </w:r>
            <w:r>
              <w:rPr>
                <w:sz w:val="24"/>
              </w:rPr>
              <w:t>to Clinical Question:</w:t>
            </w:r>
          </w:p>
        </w:tc>
        <w:tc>
          <w:tcPr>
            <w:tcW w:w="3485" w:type="dxa"/>
          </w:tcPr>
          <w:p w14:paraId="71305BFE" w14:textId="77777777" w:rsidR="00C82084" w:rsidRDefault="00C82084" w:rsidP="002D2A94">
            <w:pPr>
              <w:pStyle w:val="TableParagraph"/>
              <w:spacing w:line="292" w:lineRule="exact"/>
              <w:rPr>
                <w:sz w:val="24"/>
              </w:rPr>
            </w:pPr>
            <w:r>
              <w:rPr>
                <w:spacing w:val="-2"/>
                <w:sz w:val="24"/>
              </w:rPr>
              <w:t>Resource:</w:t>
            </w:r>
          </w:p>
        </w:tc>
        <w:tc>
          <w:tcPr>
            <w:tcW w:w="1318" w:type="dxa"/>
          </w:tcPr>
          <w:p w14:paraId="674604B9" w14:textId="77777777" w:rsidR="00C82084" w:rsidRDefault="00C82084" w:rsidP="002D2A94">
            <w:pPr>
              <w:pStyle w:val="TableParagraph"/>
              <w:ind w:right="204"/>
              <w:rPr>
                <w:sz w:val="24"/>
              </w:rPr>
            </w:pPr>
            <w:r>
              <w:rPr>
                <w:sz w:val="24"/>
              </w:rPr>
              <w:t xml:space="preserve">Level of </w:t>
            </w:r>
            <w:r>
              <w:rPr>
                <w:spacing w:val="-2"/>
                <w:sz w:val="24"/>
              </w:rPr>
              <w:t>Credibility (1-5)</w:t>
            </w:r>
          </w:p>
        </w:tc>
      </w:tr>
      <w:tr w:rsidR="00C82084" w14:paraId="06B4C354" w14:textId="77777777" w:rsidTr="002D2A94">
        <w:trPr>
          <w:trHeight w:val="3808"/>
        </w:trPr>
        <w:tc>
          <w:tcPr>
            <w:tcW w:w="4548" w:type="dxa"/>
          </w:tcPr>
          <w:p w14:paraId="46FA6A70" w14:textId="77777777" w:rsidR="00C82084" w:rsidRDefault="00C82084" w:rsidP="002D2A94">
            <w:pPr>
              <w:pStyle w:val="TableParagraph"/>
              <w:ind w:right="113"/>
              <w:rPr>
                <w:sz w:val="24"/>
              </w:rPr>
            </w:pPr>
            <w:r>
              <w:rPr>
                <w:sz w:val="24"/>
              </w:rPr>
              <w:t>tPA is a thrombolytic which is formed by aggregation</w:t>
            </w:r>
            <w:r>
              <w:rPr>
                <w:spacing w:val="-7"/>
                <w:sz w:val="24"/>
              </w:rPr>
              <w:t xml:space="preserve"> </w:t>
            </w:r>
            <w:r>
              <w:rPr>
                <w:sz w:val="24"/>
              </w:rPr>
              <w:t>of</w:t>
            </w:r>
            <w:r>
              <w:rPr>
                <w:spacing w:val="-6"/>
                <w:sz w:val="24"/>
              </w:rPr>
              <w:t xml:space="preserve"> </w:t>
            </w:r>
            <w:r>
              <w:rPr>
                <w:sz w:val="24"/>
              </w:rPr>
              <w:t>activated</w:t>
            </w:r>
            <w:r>
              <w:rPr>
                <w:spacing w:val="-9"/>
                <w:sz w:val="24"/>
              </w:rPr>
              <w:t xml:space="preserve"> </w:t>
            </w:r>
            <w:r>
              <w:rPr>
                <w:sz w:val="24"/>
              </w:rPr>
              <w:t>platelets</w:t>
            </w:r>
            <w:r>
              <w:rPr>
                <w:spacing w:val="-8"/>
                <w:sz w:val="24"/>
              </w:rPr>
              <w:t xml:space="preserve"> </w:t>
            </w:r>
            <w:r>
              <w:rPr>
                <w:sz w:val="24"/>
              </w:rPr>
              <w:t>into</w:t>
            </w:r>
            <w:r>
              <w:rPr>
                <w:spacing w:val="-9"/>
                <w:sz w:val="24"/>
              </w:rPr>
              <w:t xml:space="preserve"> </w:t>
            </w:r>
            <w:r>
              <w:rPr>
                <w:sz w:val="24"/>
              </w:rPr>
              <w:t>fibrin meshes by activating plasminogen.</w:t>
            </w:r>
          </w:p>
          <w:p w14:paraId="0FD22461" w14:textId="77777777" w:rsidR="00C82084" w:rsidRDefault="00C82084" w:rsidP="002D2A94">
            <w:pPr>
              <w:pStyle w:val="TableParagraph"/>
              <w:spacing w:before="10"/>
              <w:ind w:left="0"/>
              <w:rPr>
                <w:b/>
                <w:sz w:val="23"/>
              </w:rPr>
            </w:pPr>
          </w:p>
          <w:p w14:paraId="0BCA60FA" w14:textId="77777777" w:rsidR="00C82084" w:rsidRDefault="00C82084" w:rsidP="002D2A94">
            <w:pPr>
              <w:pStyle w:val="TableParagraph"/>
              <w:spacing w:before="1"/>
              <w:ind w:right="113"/>
              <w:rPr>
                <w:sz w:val="24"/>
              </w:rPr>
            </w:pPr>
            <w:r>
              <w:rPr>
                <w:sz w:val="24"/>
              </w:rPr>
              <w:t xml:space="preserve">tPA attaches to fibrin on the clot surface </w:t>
            </w:r>
            <w:r>
              <w:rPr>
                <w:rFonts w:ascii="Wingdings" w:hAnsi="Wingdings"/>
                <w:sz w:val="24"/>
              </w:rPr>
              <w:t></w:t>
            </w:r>
            <w:r>
              <w:rPr>
                <w:rFonts w:ascii="Times New Roman" w:hAnsi="Times New Roman"/>
                <w:sz w:val="24"/>
              </w:rPr>
              <w:t xml:space="preserve"> </w:t>
            </w:r>
            <w:r>
              <w:rPr>
                <w:sz w:val="24"/>
              </w:rPr>
              <w:t xml:space="preserve">activation of fibrin-bound plasminogen </w:t>
            </w:r>
            <w:r>
              <w:rPr>
                <w:rFonts w:ascii="Wingdings" w:hAnsi="Wingdings"/>
                <w:sz w:val="24"/>
              </w:rPr>
              <w:t></w:t>
            </w:r>
            <w:r>
              <w:rPr>
                <w:rFonts w:ascii="Times New Roman" w:hAnsi="Times New Roman"/>
                <w:sz w:val="24"/>
              </w:rPr>
              <w:t xml:space="preserve"> </w:t>
            </w:r>
            <w:r>
              <w:rPr>
                <w:sz w:val="24"/>
              </w:rPr>
              <w:t xml:space="preserve">plasmin is subsequently cleaved from the plasminogen affiliated with the fibrin </w:t>
            </w:r>
            <w:r>
              <w:rPr>
                <w:rFonts w:ascii="Wingdings" w:hAnsi="Wingdings"/>
                <w:sz w:val="24"/>
              </w:rPr>
              <w:t></w:t>
            </w:r>
            <w:r>
              <w:rPr>
                <w:rFonts w:ascii="Times New Roman" w:hAnsi="Times New Roman"/>
                <w:sz w:val="24"/>
              </w:rPr>
              <w:t xml:space="preserve"> </w:t>
            </w:r>
            <w:r>
              <w:rPr>
                <w:sz w:val="24"/>
              </w:rPr>
              <w:t>plasmin</w:t>
            </w:r>
            <w:r>
              <w:rPr>
                <w:spacing w:val="-6"/>
                <w:sz w:val="24"/>
              </w:rPr>
              <w:t xml:space="preserve"> </w:t>
            </w:r>
            <w:r>
              <w:rPr>
                <w:sz w:val="24"/>
              </w:rPr>
              <w:t>breaks</w:t>
            </w:r>
            <w:r>
              <w:rPr>
                <w:spacing w:val="-7"/>
                <w:sz w:val="24"/>
              </w:rPr>
              <w:t xml:space="preserve"> </w:t>
            </w:r>
            <w:r>
              <w:rPr>
                <w:sz w:val="24"/>
              </w:rPr>
              <w:t>up</w:t>
            </w:r>
            <w:r>
              <w:rPr>
                <w:spacing w:val="-6"/>
                <w:sz w:val="24"/>
              </w:rPr>
              <w:t xml:space="preserve"> </w:t>
            </w:r>
            <w:r>
              <w:rPr>
                <w:sz w:val="24"/>
              </w:rPr>
              <w:t>the</w:t>
            </w:r>
            <w:r>
              <w:rPr>
                <w:spacing w:val="-4"/>
                <w:sz w:val="24"/>
              </w:rPr>
              <w:t xml:space="preserve"> </w:t>
            </w:r>
            <w:r>
              <w:rPr>
                <w:sz w:val="24"/>
              </w:rPr>
              <w:t>molecules</w:t>
            </w:r>
            <w:r>
              <w:rPr>
                <w:spacing w:val="-7"/>
                <w:sz w:val="24"/>
              </w:rPr>
              <w:t xml:space="preserve"> </w:t>
            </w:r>
            <w:r>
              <w:rPr>
                <w:sz w:val="24"/>
              </w:rPr>
              <w:t>of</w:t>
            </w:r>
            <w:r>
              <w:rPr>
                <w:spacing w:val="-6"/>
                <w:sz w:val="24"/>
              </w:rPr>
              <w:t xml:space="preserve"> </w:t>
            </w:r>
            <w:r>
              <w:rPr>
                <w:sz w:val="24"/>
              </w:rPr>
              <w:t>fibrin</w:t>
            </w:r>
            <w:r>
              <w:rPr>
                <w:spacing w:val="-3"/>
                <w:sz w:val="24"/>
              </w:rPr>
              <w:t xml:space="preserve"> </w:t>
            </w:r>
            <w:r>
              <w:rPr>
                <w:rFonts w:ascii="Wingdings" w:hAnsi="Wingdings"/>
                <w:sz w:val="24"/>
              </w:rPr>
              <w:t></w:t>
            </w:r>
            <w:r>
              <w:rPr>
                <w:rFonts w:ascii="Times New Roman" w:hAnsi="Times New Roman"/>
                <w:sz w:val="24"/>
              </w:rPr>
              <w:t xml:space="preserve"> </w:t>
            </w:r>
            <w:r>
              <w:rPr>
                <w:sz w:val="24"/>
              </w:rPr>
              <w:t xml:space="preserve">clot dissolves…fibrin is inactivated by alpha 2-antiplasmin </w:t>
            </w:r>
            <w:r>
              <w:rPr>
                <w:rFonts w:ascii="Wingdings" w:hAnsi="Wingdings"/>
                <w:sz w:val="24"/>
              </w:rPr>
              <w:t></w:t>
            </w:r>
            <w:r>
              <w:rPr>
                <w:rFonts w:ascii="Times New Roman" w:hAnsi="Times New Roman"/>
                <w:sz w:val="24"/>
              </w:rPr>
              <w:t xml:space="preserve"> </w:t>
            </w:r>
            <w:r>
              <w:rPr>
                <w:sz w:val="24"/>
              </w:rPr>
              <w:t xml:space="preserve">PAI 1 binds to tPA to form complex </w:t>
            </w:r>
            <w:r>
              <w:rPr>
                <w:rFonts w:ascii="Wingdings" w:hAnsi="Wingdings"/>
                <w:sz w:val="24"/>
              </w:rPr>
              <w:t></w:t>
            </w:r>
            <w:r>
              <w:rPr>
                <w:rFonts w:ascii="Times New Roman" w:hAnsi="Times New Roman"/>
                <w:sz w:val="24"/>
              </w:rPr>
              <w:t xml:space="preserve"> </w:t>
            </w:r>
            <w:r>
              <w:rPr>
                <w:sz w:val="24"/>
              </w:rPr>
              <w:t>removed by liver</w:t>
            </w:r>
          </w:p>
        </w:tc>
        <w:tc>
          <w:tcPr>
            <w:tcW w:w="3485" w:type="dxa"/>
          </w:tcPr>
          <w:p w14:paraId="6DF71216" w14:textId="77777777" w:rsidR="00C82084" w:rsidRDefault="00C82084" w:rsidP="002D2A94">
            <w:pPr>
              <w:pStyle w:val="TableParagraph"/>
              <w:rPr>
                <w:sz w:val="24"/>
              </w:rPr>
            </w:pPr>
            <w:r>
              <w:rPr>
                <w:color w:val="212121"/>
                <w:sz w:val="24"/>
              </w:rPr>
              <w:t>Jilani TN, Siddiqui AH. Tissue Plasminogen</w:t>
            </w:r>
            <w:r>
              <w:rPr>
                <w:color w:val="212121"/>
                <w:spacing w:val="-14"/>
                <w:sz w:val="24"/>
              </w:rPr>
              <w:t xml:space="preserve"> </w:t>
            </w:r>
            <w:r>
              <w:rPr>
                <w:color w:val="212121"/>
                <w:sz w:val="24"/>
              </w:rPr>
              <w:t>Activator.</w:t>
            </w:r>
            <w:r>
              <w:rPr>
                <w:color w:val="212121"/>
                <w:spacing w:val="-14"/>
                <w:sz w:val="24"/>
              </w:rPr>
              <w:t xml:space="preserve"> </w:t>
            </w:r>
            <w:r>
              <w:rPr>
                <w:color w:val="212121"/>
                <w:sz w:val="24"/>
              </w:rPr>
              <w:t xml:space="preserve">[Updated 2021 Mar 21]. In: </w:t>
            </w:r>
            <w:proofErr w:type="spellStart"/>
            <w:r>
              <w:rPr>
                <w:color w:val="212121"/>
                <w:sz w:val="24"/>
              </w:rPr>
              <w:t>StatPearls</w:t>
            </w:r>
            <w:proofErr w:type="spellEnd"/>
            <w:r>
              <w:rPr>
                <w:color w:val="212121"/>
                <w:sz w:val="24"/>
              </w:rPr>
              <w:t xml:space="preserve"> [Internet]. Treasure Island (FL): </w:t>
            </w:r>
            <w:proofErr w:type="spellStart"/>
            <w:r>
              <w:rPr>
                <w:color w:val="212121"/>
                <w:sz w:val="24"/>
              </w:rPr>
              <w:t>StatPearls</w:t>
            </w:r>
            <w:proofErr w:type="spellEnd"/>
            <w:r>
              <w:rPr>
                <w:color w:val="212121"/>
                <w:sz w:val="24"/>
              </w:rPr>
              <w:t xml:space="preserve"> Publishing; 2021 Jan.</w:t>
            </w:r>
          </w:p>
        </w:tc>
        <w:tc>
          <w:tcPr>
            <w:tcW w:w="1318" w:type="dxa"/>
          </w:tcPr>
          <w:p w14:paraId="3A7DC9D5" w14:textId="77777777" w:rsidR="00C82084" w:rsidRDefault="00C82084" w:rsidP="002D2A94">
            <w:pPr>
              <w:pStyle w:val="TableParagraph"/>
              <w:ind w:right="247"/>
              <w:rPr>
                <w:sz w:val="24"/>
              </w:rPr>
            </w:pPr>
            <w:r>
              <w:rPr>
                <w:spacing w:val="-2"/>
                <w:sz w:val="24"/>
              </w:rPr>
              <w:t>1(Peer Reviewed Book)</w:t>
            </w:r>
          </w:p>
        </w:tc>
      </w:tr>
      <w:tr w:rsidR="00C82084" w14:paraId="2B6B3981" w14:textId="77777777" w:rsidTr="002D2A94">
        <w:trPr>
          <w:trHeight w:val="2637"/>
        </w:trPr>
        <w:tc>
          <w:tcPr>
            <w:tcW w:w="4548" w:type="dxa"/>
          </w:tcPr>
          <w:p w14:paraId="5FB623E9" w14:textId="77777777" w:rsidR="00C82084" w:rsidRDefault="00C82084" w:rsidP="002D2A94">
            <w:pPr>
              <w:pStyle w:val="TableParagraph"/>
              <w:ind w:right="170"/>
              <w:rPr>
                <w:sz w:val="24"/>
              </w:rPr>
            </w:pPr>
            <w:r>
              <w:rPr>
                <w:sz w:val="24"/>
              </w:rPr>
              <w:t xml:space="preserve">Indications for r-tPA use in PE </w:t>
            </w:r>
            <w:proofErr w:type="gramStart"/>
            <w:r>
              <w:rPr>
                <w:sz w:val="24"/>
              </w:rPr>
              <w:t>include:</w:t>
            </w:r>
            <w:proofErr w:type="gramEnd"/>
            <w:r>
              <w:rPr>
                <w:sz w:val="24"/>
              </w:rPr>
              <w:t xml:space="preserve"> </w:t>
            </w:r>
            <w:r>
              <w:rPr>
                <w:b/>
                <w:sz w:val="24"/>
              </w:rPr>
              <w:t xml:space="preserve">shock </w:t>
            </w:r>
            <w:r>
              <w:rPr>
                <w:sz w:val="24"/>
              </w:rPr>
              <w:t xml:space="preserve">or </w:t>
            </w:r>
            <w:r>
              <w:rPr>
                <w:b/>
                <w:sz w:val="24"/>
              </w:rPr>
              <w:t xml:space="preserve">persistent hypotension </w:t>
            </w:r>
            <w:r>
              <w:rPr>
                <w:sz w:val="24"/>
              </w:rPr>
              <w:t>(100% mortality</w:t>
            </w:r>
            <w:r>
              <w:rPr>
                <w:spacing w:val="-1"/>
                <w:sz w:val="24"/>
              </w:rPr>
              <w:t xml:space="preserve"> </w:t>
            </w:r>
            <w:r>
              <w:rPr>
                <w:sz w:val="24"/>
              </w:rPr>
              <w:t>without thrombolysis~); new</w:t>
            </w:r>
            <w:r>
              <w:rPr>
                <w:spacing w:val="-2"/>
                <w:sz w:val="24"/>
              </w:rPr>
              <w:t xml:space="preserve"> </w:t>
            </w:r>
            <w:r>
              <w:rPr>
                <w:sz w:val="24"/>
              </w:rPr>
              <w:t xml:space="preserve">or worsening </w:t>
            </w:r>
            <w:r>
              <w:rPr>
                <w:b/>
                <w:sz w:val="24"/>
              </w:rPr>
              <w:t xml:space="preserve">right ventricular dysfunction </w:t>
            </w:r>
            <w:r>
              <w:rPr>
                <w:sz w:val="24"/>
              </w:rPr>
              <w:t>(through echocardiogram, CT chest, elevated</w:t>
            </w:r>
            <w:r>
              <w:rPr>
                <w:spacing w:val="-8"/>
                <w:sz w:val="24"/>
              </w:rPr>
              <w:t xml:space="preserve"> </w:t>
            </w:r>
            <w:r>
              <w:rPr>
                <w:sz w:val="24"/>
              </w:rPr>
              <w:t>troponin</w:t>
            </w:r>
            <w:r>
              <w:rPr>
                <w:spacing w:val="-6"/>
                <w:sz w:val="24"/>
              </w:rPr>
              <w:t xml:space="preserve"> </w:t>
            </w:r>
            <w:r>
              <w:rPr>
                <w:sz w:val="24"/>
              </w:rPr>
              <w:t>and</w:t>
            </w:r>
            <w:r>
              <w:rPr>
                <w:spacing w:val="-6"/>
                <w:sz w:val="24"/>
              </w:rPr>
              <w:t xml:space="preserve"> </w:t>
            </w:r>
            <w:r>
              <w:rPr>
                <w:sz w:val="24"/>
              </w:rPr>
              <w:t>BNP,</w:t>
            </w:r>
            <w:r>
              <w:rPr>
                <w:spacing w:val="-6"/>
                <w:sz w:val="24"/>
              </w:rPr>
              <w:t xml:space="preserve"> </w:t>
            </w:r>
            <w:r>
              <w:rPr>
                <w:sz w:val="24"/>
              </w:rPr>
              <w:t>or</w:t>
            </w:r>
            <w:r>
              <w:rPr>
                <w:spacing w:val="-6"/>
                <w:sz w:val="24"/>
              </w:rPr>
              <w:t xml:space="preserve"> </w:t>
            </w:r>
            <w:r>
              <w:rPr>
                <w:sz w:val="24"/>
              </w:rPr>
              <w:t>absence</w:t>
            </w:r>
            <w:r>
              <w:rPr>
                <w:spacing w:val="-8"/>
                <w:sz w:val="24"/>
              </w:rPr>
              <w:t xml:space="preserve"> </w:t>
            </w:r>
            <w:r>
              <w:rPr>
                <w:sz w:val="24"/>
              </w:rPr>
              <w:t xml:space="preserve">of comorbidities which affect RV function), significant </w:t>
            </w:r>
            <w:r>
              <w:rPr>
                <w:b/>
                <w:sz w:val="24"/>
              </w:rPr>
              <w:t xml:space="preserve">hypoxemia </w:t>
            </w:r>
            <w:r>
              <w:rPr>
                <w:sz w:val="24"/>
              </w:rPr>
              <w:t>or respiratory</w:t>
            </w:r>
          </w:p>
          <w:p w14:paraId="698C9CE6" w14:textId="77777777" w:rsidR="00C82084" w:rsidRDefault="00C82084" w:rsidP="002D2A94">
            <w:pPr>
              <w:pStyle w:val="TableParagraph"/>
              <w:spacing w:line="273" w:lineRule="exact"/>
              <w:rPr>
                <w:b/>
                <w:sz w:val="24"/>
              </w:rPr>
            </w:pPr>
            <w:r>
              <w:rPr>
                <w:sz w:val="24"/>
              </w:rPr>
              <w:t>distress,</w:t>
            </w:r>
            <w:r>
              <w:rPr>
                <w:spacing w:val="-5"/>
                <w:sz w:val="24"/>
              </w:rPr>
              <w:t xml:space="preserve"> </w:t>
            </w:r>
            <w:r>
              <w:rPr>
                <w:b/>
                <w:sz w:val="24"/>
              </w:rPr>
              <w:t>tachycardia,</w:t>
            </w:r>
            <w:r>
              <w:rPr>
                <w:b/>
                <w:spacing w:val="-1"/>
                <w:sz w:val="24"/>
              </w:rPr>
              <w:t xml:space="preserve"> </w:t>
            </w:r>
            <w:r>
              <w:rPr>
                <w:b/>
                <w:spacing w:val="-4"/>
                <w:sz w:val="24"/>
              </w:rPr>
              <w:t>poor</w:t>
            </w:r>
          </w:p>
        </w:tc>
        <w:tc>
          <w:tcPr>
            <w:tcW w:w="3485" w:type="dxa"/>
          </w:tcPr>
          <w:p w14:paraId="526C1C0A" w14:textId="77777777" w:rsidR="00C82084" w:rsidRDefault="00C82084" w:rsidP="002D2A94">
            <w:pPr>
              <w:pStyle w:val="TableParagraph"/>
              <w:ind w:right="144"/>
              <w:rPr>
                <w:sz w:val="24"/>
              </w:rPr>
            </w:pPr>
            <w:proofErr w:type="spellStart"/>
            <w:r>
              <w:rPr>
                <w:sz w:val="24"/>
              </w:rPr>
              <w:t>Tapson</w:t>
            </w:r>
            <w:proofErr w:type="spellEnd"/>
            <w:r>
              <w:rPr>
                <w:sz w:val="24"/>
              </w:rPr>
              <w:t>, V et al. Approach to thrombolytic (fibrinolytic) therapy in acute pulmonary embolism:</w:t>
            </w:r>
            <w:r>
              <w:rPr>
                <w:spacing w:val="-14"/>
                <w:sz w:val="24"/>
              </w:rPr>
              <w:t xml:space="preserve"> </w:t>
            </w:r>
            <w:r>
              <w:rPr>
                <w:sz w:val="24"/>
              </w:rPr>
              <w:t>Patient</w:t>
            </w:r>
            <w:r>
              <w:rPr>
                <w:spacing w:val="-11"/>
                <w:sz w:val="24"/>
              </w:rPr>
              <w:t xml:space="preserve"> </w:t>
            </w:r>
            <w:r>
              <w:rPr>
                <w:sz w:val="24"/>
              </w:rPr>
              <w:t>selection</w:t>
            </w:r>
            <w:r>
              <w:rPr>
                <w:spacing w:val="-12"/>
                <w:sz w:val="24"/>
              </w:rPr>
              <w:t xml:space="preserve"> </w:t>
            </w:r>
            <w:r>
              <w:rPr>
                <w:sz w:val="24"/>
              </w:rPr>
              <w:t xml:space="preserve">and administration. In: </w:t>
            </w:r>
            <w:r>
              <w:rPr>
                <w:i/>
                <w:sz w:val="24"/>
              </w:rPr>
              <w:t>UpToDate</w:t>
            </w:r>
            <w:r>
              <w:rPr>
                <w:sz w:val="24"/>
              </w:rPr>
              <w:t>, Post TW (Ed), UpToDate, Waltham, MA. (Accessed on August 10, 2021).</w:t>
            </w:r>
          </w:p>
        </w:tc>
        <w:tc>
          <w:tcPr>
            <w:tcW w:w="1318" w:type="dxa"/>
          </w:tcPr>
          <w:p w14:paraId="187C8879" w14:textId="77777777" w:rsidR="00C82084" w:rsidRDefault="00C82084" w:rsidP="002D2A94">
            <w:pPr>
              <w:pStyle w:val="TableParagraph"/>
              <w:spacing w:line="292" w:lineRule="exact"/>
              <w:rPr>
                <w:sz w:val="24"/>
              </w:rPr>
            </w:pPr>
            <w:r>
              <w:rPr>
                <w:spacing w:val="-2"/>
                <w:sz w:val="24"/>
              </w:rPr>
              <w:t>1(RCTs,</w:t>
            </w:r>
          </w:p>
          <w:p w14:paraId="7C8C3F74" w14:textId="77777777" w:rsidR="00C82084" w:rsidRDefault="00C82084" w:rsidP="002D2A94">
            <w:pPr>
              <w:pStyle w:val="TableParagraph"/>
              <w:rPr>
                <w:sz w:val="24"/>
              </w:rPr>
            </w:pPr>
            <w:r>
              <w:rPr>
                <w:spacing w:val="-2"/>
                <w:sz w:val="24"/>
              </w:rPr>
              <w:t>Meta- Analyses, Clinical Practice Guidelines)</w:t>
            </w:r>
          </w:p>
        </w:tc>
      </w:tr>
    </w:tbl>
    <w:p w14:paraId="4B89E726" w14:textId="77777777" w:rsidR="00C82084" w:rsidRDefault="00C82084" w:rsidP="00C82084">
      <w:pPr>
        <w:rPr>
          <w:sz w:val="24"/>
        </w:rPr>
        <w:sectPr w:rsidR="00C82084" w:rsidSect="00C82084">
          <w:pgSz w:w="12240" w:h="15840"/>
          <w:pgMar w:top="1420" w:right="1340" w:bottom="280" w:left="1340" w:header="720" w:footer="720"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48"/>
        <w:gridCol w:w="3485"/>
        <w:gridCol w:w="1318"/>
      </w:tblGrid>
      <w:tr w:rsidR="00C82084" w14:paraId="40FEDB92" w14:textId="77777777" w:rsidTr="002D2A94">
        <w:trPr>
          <w:trHeight w:val="11425"/>
        </w:trPr>
        <w:tc>
          <w:tcPr>
            <w:tcW w:w="4548" w:type="dxa"/>
          </w:tcPr>
          <w:p w14:paraId="04757C1E" w14:textId="77777777" w:rsidR="00C82084" w:rsidRDefault="00C82084" w:rsidP="002D2A94">
            <w:pPr>
              <w:pStyle w:val="TableParagraph"/>
              <w:ind w:right="113"/>
              <w:rPr>
                <w:sz w:val="24"/>
              </w:rPr>
            </w:pPr>
            <w:r>
              <w:rPr>
                <w:b/>
                <w:sz w:val="24"/>
              </w:rPr>
              <w:lastRenderedPageBreak/>
              <w:t>cardiopulmonary</w:t>
            </w:r>
            <w:r>
              <w:rPr>
                <w:b/>
                <w:spacing w:val="-11"/>
                <w:sz w:val="24"/>
              </w:rPr>
              <w:t xml:space="preserve"> </w:t>
            </w:r>
            <w:r>
              <w:rPr>
                <w:b/>
                <w:sz w:val="24"/>
              </w:rPr>
              <w:t>reserve</w:t>
            </w:r>
            <w:r>
              <w:rPr>
                <w:sz w:val="24"/>
              </w:rPr>
              <w:t>,</w:t>
            </w:r>
            <w:r>
              <w:rPr>
                <w:spacing w:val="-10"/>
                <w:sz w:val="24"/>
              </w:rPr>
              <w:t xml:space="preserve"> </w:t>
            </w:r>
            <w:r>
              <w:rPr>
                <w:b/>
                <w:sz w:val="24"/>
              </w:rPr>
              <w:t>proximal</w:t>
            </w:r>
            <w:r>
              <w:rPr>
                <w:b/>
                <w:spacing w:val="-9"/>
                <w:sz w:val="24"/>
              </w:rPr>
              <w:t xml:space="preserve"> </w:t>
            </w:r>
            <w:r>
              <w:rPr>
                <w:b/>
                <w:sz w:val="24"/>
              </w:rPr>
              <w:t>DVT</w:t>
            </w:r>
            <w:r>
              <w:rPr>
                <w:b/>
                <w:spacing w:val="-10"/>
                <w:sz w:val="24"/>
              </w:rPr>
              <w:t xml:space="preserve"> </w:t>
            </w:r>
            <w:r>
              <w:rPr>
                <w:sz w:val="24"/>
              </w:rPr>
              <w:t>in the lower extremities,</w:t>
            </w:r>
            <w:r>
              <w:rPr>
                <w:spacing w:val="-1"/>
                <w:sz w:val="24"/>
              </w:rPr>
              <w:t xml:space="preserve"> </w:t>
            </w:r>
            <w:r>
              <w:rPr>
                <w:b/>
                <w:sz w:val="24"/>
              </w:rPr>
              <w:t>high clot burden</w:t>
            </w:r>
            <w:r>
              <w:rPr>
                <w:sz w:val="24"/>
              </w:rPr>
              <w:t>,</w:t>
            </w:r>
            <w:r>
              <w:rPr>
                <w:spacing w:val="-1"/>
                <w:sz w:val="24"/>
              </w:rPr>
              <w:t xml:space="preserve"> </w:t>
            </w:r>
            <w:r>
              <w:rPr>
                <w:sz w:val="24"/>
              </w:rPr>
              <w:t xml:space="preserve">or </w:t>
            </w:r>
            <w:r>
              <w:rPr>
                <w:b/>
                <w:sz w:val="24"/>
              </w:rPr>
              <w:t>presence of right-sided cardiac thrombus</w:t>
            </w:r>
            <w:r>
              <w:rPr>
                <w:sz w:val="24"/>
              </w:rPr>
              <w:t xml:space="preserve">; or </w:t>
            </w:r>
            <w:proofErr w:type="spellStart"/>
            <w:r>
              <w:rPr>
                <w:b/>
                <w:sz w:val="24"/>
              </w:rPr>
              <w:t>sPESI</w:t>
            </w:r>
            <w:proofErr w:type="spellEnd"/>
            <w:r>
              <w:rPr>
                <w:b/>
                <w:sz w:val="24"/>
              </w:rPr>
              <w:t xml:space="preserve"> score</w:t>
            </w:r>
            <w:r>
              <w:rPr>
                <w:b/>
                <w:spacing w:val="-1"/>
                <w:sz w:val="24"/>
              </w:rPr>
              <w:t xml:space="preserve"> </w:t>
            </w:r>
            <w:r>
              <w:rPr>
                <w:b/>
                <w:sz w:val="24"/>
              </w:rPr>
              <w:t xml:space="preserve">&gt;0 </w:t>
            </w:r>
            <w:r>
              <w:rPr>
                <w:sz w:val="24"/>
              </w:rPr>
              <w:t>– which includes age&gt;80, history of cancer (HR: 2.3*), chronic cardiopulmonary disease (HR: 2.4*), pulse</w:t>
            </w:r>
          </w:p>
          <w:p w14:paraId="2A27402D" w14:textId="77777777" w:rsidR="00C82084" w:rsidRDefault="00C82084" w:rsidP="002D2A94">
            <w:pPr>
              <w:pStyle w:val="TableParagraph"/>
              <w:ind w:right="113"/>
              <w:rPr>
                <w:sz w:val="24"/>
              </w:rPr>
            </w:pPr>
            <w:r>
              <w:rPr>
                <w:sz w:val="24"/>
              </w:rPr>
              <w:t>&gt;109,</w:t>
            </w:r>
            <w:r>
              <w:rPr>
                <w:spacing w:val="-9"/>
                <w:sz w:val="24"/>
              </w:rPr>
              <w:t xml:space="preserve"> </w:t>
            </w:r>
            <w:r>
              <w:rPr>
                <w:sz w:val="24"/>
              </w:rPr>
              <w:t>systolic</w:t>
            </w:r>
            <w:r>
              <w:rPr>
                <w:spacing w:val="-8"/>
                <w:sz w:val="24"/>
              </w:rPr>
              <w:t xml:space="preserve"> </w:t>
            </w:r>
            <w:r>
              <w:rPr>
                <w:sz w:val="24"/>
              </w:rPr>
              <w:t>pressure</w:t>
            </w:r>
            <w:r>
              <w:rPr>
                <w:spacing w:val="-8"/>
                <w:sz w:val="24"/>
              </w:rPr>
              <w:t xml:space="preserve"> </w:t>
            </w:r>
            <w:r>
              <w:rPr>
                <w:sz w:val="24"/>
              </w:rPr>
              <w:t>&lt;100</w:t>
            </w:r>
            <w:r>
              <w:rPr>
                <w:spacing w:val="-7"/>
                <w:sz w:val="24"/>
              </w:rPr>
              <w:t xml:space="preserve"> </w:t>
            </w:r>
            <w:r>
              <w:rPr>
                <w:sz w:val="24"/>
              </w:rPr>
              <w:t>(HR:</w:t>
            </w:r>
            <w:r>
              <w:rPr>
                <w:spacing w:val="-7"/>
                <w:sz w:val="24"/>
              </w:rPr>
              <w:t xml:space="preserve"> </w:t>
            </w:r>
            <w:r>
              <w:rPr>
                <w:sz w:val="24"/>
              </w:rPr>
              <w:t>2.9*), arterial oxygen saturation &lt;90%).</w:t>
            </w:r>
          </w:p>
          <w:p w14:paraId="3ED5B772" w14:textId="77777777" w:rsidR="00C82084" w:rsidRDefault="00C82084" w:rsidP="002D2A94">
            <w:pPr>
              <w:pStyle w:val="TableParagraph"/>
              <w:ind w:right="134"/>
              <w:rPr>
                <w:sz w:val="24"/>
              </w:rPr>
            </w:pPr>
            <w:r>
              <w:rPr>
                <w:sz w:val="24"/>
              </w:rPr>
              <w:t xml:space="preserve">* </w:t>
            </w:r>
            <w:r>
              <w:rPr>
                <w:color w:val="222222"/>
                <w:sz w:val="24"/>
              </w:rPr>
              <w:t xml:space="preserve">Other than </w:t>
            </w:r>
            <w:r>
              <w:rPr>
                <w:b/>
                <w:i/>
                <w:color w:val="222222"/>
                <w:sz w:val="24"/>
              </w:rPr>
              <w:t>refractory hypotension and shock due to acute PE in patients with a low bleeding risk</w:t>
            </w:r>
            <w:r>
              <w:rPr>
                <w:color w:val="222222"/>
                <w:sz w:val="24"/>
              </w:rPr>
              <w:t>, none</w:t>
            </w:r>
            <w:r>
              <w:rPr>
                <w:color w:val="222222"/>
                <w:spacing w:val="-3"/>
                <w:sz w:val="24"/>
              </w:rPr>
              <w:t xml:space="preserve"> </w:t>
            </w:r>
            <w:r>
              <w:rPr>
                <w:color w:val="222222"/>
                <w:sz w:val="24"/>
              </w:rPr>
              <w:t>of the listed factors by itself is an absolute indication for thrombolytic</w:t>
            </w:r>
            <w:r>
              <w:rPr>
                <w:color w:val="222222"/>
                <w:spacing w:val="-6"/>
                <w:sz w:val="24"/>
              </w:rPr>
              <w:t xml:space="preserve"> </w:t>
            </w:r>
            <w:r>
              <w:rPr>
                <w:color w:val="222222"/>
                <w:sz w:val="24"/>
              </w:rPr>
              <w:t>therapy.</w:t>
            </w:r>
            <w:r>
              <w:rPr>
                <w:color w:val="222222"/>
                <w:spacing w:val="-6"/>
                <w:sz w:val="24"/>
              </w:rPr>
              <w:t xml:space="preserve"> </w:t>
            </w:r>
            <w:r>
              <w:rPr>
                <w:color w:val="222222"/>
                <w:sz w:val="24"/>
              </w:rPr>
              <w:t>Rather,</w:t>
            </w:r>
            <w:r>
              <w:rPr>
                <w:color w:val="222222"/>
                <w:spacing w:val="-8"/>
                <w:sz w:val="24"/>
              </w:rPr>
              <w:t xml:space="preserve"> </w:t>
            </w:r>
            <w:r>
              <w:rPr>
                <w:color w:val="222222"/>
                <w:sz w:val="24"/>
              </w:rPr>
              <w:t>all</w:t>
            </w:r>
            <w:r>
              <w:rPr>
                <w:color w:val="222222"/>
                <w:spacing w:val="-8"/>
                <w:sz w:val="24"/>
              </w:rPr>
              <w:t xml:space="preserve"> </w:t>
            </w:r>
            <w:r>
              <w:rPr>
                <w:color w:val="222222"/>
                <w:sz w:val="24"/>
              </w:rPr>
              <w:t>factors</w:t>
            </w:r>
            <w:r>
              <w:rPr>
                <w:color w:val="222222"/>
                <w:spacing w:val="-6"/>
                <w:sz w:val="24"/>
              </w:rPr>
              <w:t xml:space="preserve"> </w:t>
            </w:r>
            <w:r>
              <w:rPr>
                <w:color w:val="222222"/>
                <w:sz w:val="24"/>
              </w:rPr>
              <w:t>are considered collectively so that the risk of death from PE can be assessed appropriately. Other reported factors include hyponatremia, elevated lactate and white cell count, poor performance, and older age &gt;65 years.</w:t>
            </w:r>
          </w:p>
          <w:p w14:paraId="27EB53A0" w14:textId="77777777" w:rsidR="00C82084" w:rsidRDefault="00C82084" w:rsidP="002D2A94">
            <w:pPr>
              <w:pStyle w:val="TableParagraph"/>
              <w:ind w:left="0"/>
              <w:rPr>
                <w:b/>
                <w:sz w:val="24"/>
              </w:rPr>
            </w:pPr>
          </w:p>
          <w:p w14:paraId="09F3F858" w14:textId="77777777" w:rsidR="00C82084" w:rsidRDefault="00C82084" w:rsidP="002D2A94">
            <w:pPr>
              <w:pStyle w:val="TableParagraph"/>
              <w:ind w:right="170"/>
              <w:rPr>
                <w:sz w:val="24"/>
              </w:rPr>
            </w:pPr>
            <w:r>
              <w:rPr>
                <w:sz w:val="24"/>
              </w:rPr>
              <w:t xml:space="preserve">Contraindications for r-tPA use </w:t>
            </w:r>
            <w:proofErr w:type="gramStart"/>
            <w:r>
              <w:rPr>
                <w:sz w:val="24"/>
              </w:rPr>
              <w:t>include:</w:t>
            </w:r>
            <w:proofErr w:type="gramEnd"/>
            <w:r>
              <w:rPr>
                <w:sz w:val="24"/>
              </w:rPr>
              <w:t xml:space="preserve"> Absolute (prior intracranial hemorrhage, known structural cerebral vascular lesion, known malignant intracranial neoplasm, ischemic stroke within the last 3 months, suspected</w:t>
            </w:r>
            <w:r>
              <w:rPr>
                <w:spacing w:val="-3"/>
                <w:sz w:val="24"/>
              </w:rPr>
              <w:t xml:space="preserve"> </w:t>
            </w:r>
            <w:r>
              <w:rPr>
                <w:sz w:val="24"/>
              </w:rPr>
              <w:t>aortic</w:t>
            </w:r>
            <w:r>
              <w:rPr>
                <w:spacing w:val="-7"/>
                <w:sz w:val="24"/>
              </w:rPr>
              <w:t xml:space="preserve"> </w:t>
            </w:r>
            <w:r>
              <w:rPr>
                <w:sz w:val="24"/>
              </w:rPr>
              <w:t>dissection,</w:t>
            </w:r>
            <w:r>
              <w:rPr>
                <w:spacing w:val="-4"/>
                <w:sz w:val="24"/>
              </w:rPr>
              <w:t xml:space="preserve"> </w:t>
            </w:r>
            <w:r>
              <w:rPr>
                <w:sz w:val="24"/>
              </w:rPr>
              <w:t>active</w:t>
            </w:r>
            <w:r>
              <w:rPr>
                <w:spacing w:val="-3"/>
                <w:sz w:val="24"/>
              </w:rPr>
              <w:t xml:space="preserve"> </w:t>
            </w:r>
            <w:r>
              <w:rPr>
                <w:sz w:val="24"/>
              </w:rPr>
              <w:t>bleeding or</w:t>
            </w:r>
            <w:r>
              <w:rPr>
                <w:spacing w:val="-9"/>
                <w:sz w:val="24"/>
              </w:rPr>
              <w:t xml:space="preserve"> </w:t>
            </w:r>
            <w:r>
              <w:rPr>
                <w:sz w:val="24"/>
              </w:rPr>
              <w:t>bleeding</w:t>
            </w:r>
            <w:r>
              <w:rPr>
                <w:spacing w:val="-11"/>
                <w:sz w:val="24"/>
              </w:rPr>
              <w:t xml:space="preserve"> </w:t>
            </w:r>
            <w:r>
              <w:rPr>
                <w:sz w:val="24"/>
              </w:rPr>
              <w:t>diathesis,</w:t>
            </w:r>
            <w:r>
              <w:rPr>
                <w:spacing w:val="-9"/>
                <w:sz w:val="24"/>
              </w:rPr>
              <w:t xml:space="preserve"> </w:t>
            </w:r>
            <w:r>
              <w:rPr>
                <w:sz w:val="24"/>
              </w:rPr>
              <w:t>significant</w:t>
            </w:r>
            <w:r>
              <w:rPr>
                <w:spacing w:val="-8"/>
                <w:sz w:val="24"/>
              </w:rPr>
              <w:t xml:space="preserve"> </w:t>
            </w:r>
            <w:r>
              <w:rPr>
                <w:sz w:val="24"/>
              </w:rPr>
              <w:t>close-head trauma within 3 months). Relative (history of chronic severe and poorly controlled hypertension, SBP&gt;180 or DBP&gt;110 upon presentation, history of ischemic stroke</w:t>
            </w:r>
          </w:p>
          <w:p w14:paraId="6F8B0BED" w14:textId="77777777" w:rsidR="00C82084" w:rsidRDefault="00C82084" w:rsidP="002D2A94">
            <w:pPr>
              <w:pStyle w:val="TableParagraph"/>
              <w:ind w:right="115"/>
              <w:rPr>
                <w:sz w:val="24"/>
              </w:rPr>
            </w:pPr>
            <w:r>
              <w:rPr>
                <w:sz w:val="24"/>
              </w:rPr>
              <w:t>&gt;3months prior, &gt;10min CPR or major surgery &lt;3 weeks ago, recent (2-4 weeks) internal</w:t>
            </w:r>
            <w:r>
              <w:rPr>
                <w:spacing w:val="-13"/>
                <w:sz w:val="24"/>
              </w:rPr>
              <w:t xml:space="preserve"> </w:t>
            </w:r>
            <w:r>
              <w:rPr>
                <w:sz w:val="24"/>
              </w:rPr>
              <w:t>bleeding,</w:t>
            </w:r>
            <w:r>
              <w:rPr>
                <w:spacing w:val="-13"/>
                <w:sz w:val="24"/>
              </w:rPr>
              <w:t xml:space="preserve"> </w:t>
            </w:r>
            <w:r>
              <w:rPr>
                <w:sz w:val="24"/>
              </w:rPr>
              <w:t>noncompressible</w:t>
            </w:r>
            <w:r>
              <w:rPr>
                <w:spacing w:val="-10"/>
                <w:sz w:val="24"/>
              </w:rPr>
              <w:t xml:space="preserve"> </w:t>
            </w:r>
            <w:r>
              <w:rPr>
                <w:sz w:val="24"/>
              </w:rPr>
              <w:t>vascular punctures, recent invasive procedure, pregnancy, active peptic ulcer, pericarditis or pericardial fluid, current use of an anticoagulant, age &gt;75, diabetic</w:t>
            </w:r>
          </w:p>
          <w:p w14:paraId="445579A2" w14:textId="77777777" w:rsidR="00C82084" w:rsidRDefault="00C82084" w:rsidP="002D2A94">
            <w:pPr>
              <w:pStyle w:val="TableParagraph"/>
              <w:spacing w:line="273" w:lineRule="exact"/>
              <w:rPr>
                <w:sz w:val="24"/>
              </w:rPr>
            </w:pPr>
            <w:r>
              <w:rPr>
                <w:spacing w:val="-2"/>
                <w:sz w:val="24"/>
              </w:rPr>
              <w:t>retinopathy).</w:t>
            </w:r>
          </w:p>
        </w:tc>
        <w:tc>
          <w:tcPr>
            <w:tcW w:w="3485" w:type="dxa"/>
          </w:tcPr>
          <w:p w14:paraId="1E28237B" w14:textId="77777777" w:rsidR="00C82084" w:rsidRDefault="00C82084" w:rsidP="002D2A94">
            <w:pPr>
              <w:pStyle w:val="TableParagraph"/>
              <w:ind w:right="144"/>
              <w:rPr>
                <w:sz w:val="24"/>
              </w:rPr>
            </w:pPr>
            <w:r>
              <w:rPr>
                <w:sz w:val="24"/>
              </w:rPr>
              <w:t>~</w:t>
            </w:r>
            <w:proofErr w:type="spellStart"/>
            <w:r>
              <w:rPr>
                <w:color w:val="202020"/>
                <w:sz w:val="24"/>
              </w:rPr>
              <w:t>Jerjes</w:t>
            </w:r>
            <w:proofErr w:type="spellEnd"/>
            <w:r>
              <w:rPr>
                <w:color w:val="202020"/>
                <w:sz w:val="24"/>
              </w:rPr>
              <w:t>-Sanchez C, Ramírez- Rivera A, de Lourdes García M, Arriaga-Nava R, Valencia S, Rosado-</w:t>
            </w:r>
            <w:proofErr w:type="spellStart"/>
            <w:r>
              <w:rPr>
                <w:color w:val="202020"/>
                <w:sz w:val="24"/>
              </w:rPr>
              <w:t>Buzzo</w:t>
            </w:r>
            <w:proofErr w:type="spellEnd"/>
            <w:r>
              <w:rPr>
                <w:color w:val="202020"/>
                <w:spacing w:val="-10"/>
                <w:sz w:val="24"/>
              </w:rPr>
              <w:t xml:space="preserve"> </w:t>
            </w:r>
            <w:r>
              <w:rPr>
                <w:color w:val="202020"/>
                <w:sz w:val="24"/>
              </w:rPr>
              <w:t>A,</w:t>
            </w:r>
            <w:r>
              <w:rPr>
                <w:color w:val="202020"/>
                <w:spacing w:val="-11"/>
                <w:sz w:val="24"/>
              </w:rPr>
              <w:t xml:space="preserve"> </w:t>
            </w:r>
            <w:proofErr w:type="spellStart"/>
            <w:r>
              <w:rPr>
                <w:color w:val="202020"/>
                <w:sz w:val="24"/>
              </w:rPr>
              <w:t>Pierzo</w:t>
            </w:r>
            <w:proofErr w:type="spellEnd"/>
            <w:r>
              <w:rPr>
                <w:color w:val="202020"/>
                <w:spacing w:val="-8"/>
                <w:sz w:val="24"/>
              </w:rPr>
              <w:t xml:space="preserve"> </w:t>
            </w:r>
            <w:r>
              <w:rPr>
                <w:color w:val="202020"/>
                <w:sz w:val="24"/>
              </w:rPr>
              <w:t>JA,</w:t>
            </w:r>
            <w:r>
              <w:rPr>
                <w:color w:val="202020"/>
                <w:spacing w:val="-8"/>
                <w:sz w:val="24"/>
              </w:rPr>
              <w:t xml:space="preserve"> </w:t>
            </w:r>
            <w:r>
              <w:rPr>
                <w:color w:val="202020"/>
                <w:sz w:val="24"/>
              </w:rPr>
              <w:t>Rosas</w:t>
            </w:r>
          </w:p>
          <w:p w14:paraId="04E5E12E" w14:textId="77777777" w:rsidR="00C82084" w:rsidRDefault="00C82084" w:rsidP="002D2A94">
            <w:pPr>
              <w:pStyle w:val="TableParagraph"/>
              <w:ind w:right="209"/>
              <w:rPr>
                <w:sz w:val="24"/>
              </w:rPr>
            </w:pPr>
            <w:r>
              <w:rPr>
                <w:color w:val="202020"/>
                <w:sz w:val="24"/>
              </w:rPr>
              <w:t>E. Streptokinase and Heparin versus</w:t>
            </w:r>
            <w:r>
              <w:rPr>
                <w:color w:val="202020"/>
                <w:spacing w:val="-9"/>
                <w:sz w:val="24"/>
              </w:rPr>
              <w:t xml:space="preserve"> </w:t>
            </w:r>
            <w:r>
              <w:rPr>
                <w:color w:val="202020"/>
                <w:sz w:val="24"/>
              </w:rPr>
              <w:t>Heparin</w:t>
            </w:r>
            <w:r>
              <w:rPr>
                <w:color w:val="202020"/>
                <w:spacing w:val="-7"/>
                <w:sz w:val="24"/>
              </w:rPr>
              <w:t xml:space="preserve"> </w:t>
            </w:r>
            <w:r>
              <w:rPr>
                <w:color w:val="202020"/>
                <w:sz w:val="24"/>
              </w:rPr>
              <w:t>Alone</w:t>
            </w:r>
            <w:r>
              <w:rPr>
                <w:color w:val="202020"/>
                <w:spacing w:val="-10"/>
                <w:sz w:val="24"/>
              </w:rPr>
              <w:t xml:space="preserve"> </w:t>
            </w:r>
            <w:r>
              <w:rPr>
                <w:color w:val="202020"/>
                <w:sz w:val="24"/>
              </w:rPr>
              <w:t>in</w:t>
            </w:r>
            <w:r>
              <w:rPr>
                <w:color w:val="202020"/>
                <w:spacing w:val="-12"/>
                <w:sz w:val="24"/>
              </w:rPr>
              <w:t xml:space="preserve"> </w:t>
            </w:r>
            <w:r>
              <w:rPr>
                <w:color w:val="202020"/>
                <w:sz w:val="24"/>
              </w:rPr>
              <w:t xml:space="preserve">Massive Pulmonary Embolism: A Randomized Controlled Trial. J </w:t>
            </w:r>
            <w:proofErr w:type="spellStart"/>
            <w:r>
              <w:rPr>
                <w:color w:val="202020"/>
                <w:sz w:val="24"/>
              </w:rPr>
              <w:t>Thromb</w:t>
            </w:r>
            <w:proofErr w:type="spellEnd"/>
            <w:r>
              <w:rPr>
                <w:color w:val="202020"/>
                <w:sz w:val="24"/>
              </w:rPr>
              <w:t xml:space="preserve"> Thrombolysis. 1995;2(3):227-229. </w:t>
            </w:r>
            <w:proofErr w:type="spellStart"/>
            <w:r>
              <w:rPr>
                <w:color w:val="202020"/>
                <w:sz w:val="24"/>
              </w:rPr>
              <w:t>doi</w:t>
            </w:r>
            <w:proofErr w:type="spellEnd"/>
            <w:r>
              <w:rPr>
                <w:color w:val="202020"/>
                <w:sz w:val="24"/>
              </w:rPr>
              <w:t>:</w:t>
            </w:r>
          </w:p>
          <w:p w14:paraId="01FC5DBC" w14:textId="77777777" w:rsidR="00C82084" w:rsidRDefault="00C82084" w:rsidP="002D2A94">
            <w:pPr>
              <w:pStyle w:val="TableParagraph"/>
              <w:rPr>
                <w:sz w:val="24"/>
              </w:rPr>
            </w:pPr>
            <w:r>
              <w:rPr>
                <w:color w:val="202020"/>
                <w:sz w:val="24"/>
              </w:rPr>
              <w:t>10.1007/BF01062714.</w:t>
            </w:r>
            <w:r>
              <w:rPr>
                <w:color w:val="202020"/>
                <w:spacing w:val="-9"/>
                <w:sz w:val="24"/>
              </w:rPr>
              <w:t xml:space="preserve"> </w:t>
            </w:r>
            <w:r>
              <w:rPr>
                <w:color w:val="202020"/>
                <w:spacing w:val="-4"/>
                <w:sz w:val="24"/>
              </w:rPr>
              <w:t>PMID:</w:t>
            </w:r>
          </w:p>
          <w:p w14:paraId="49A4955E" w14:textId="77777777" w:rsidR="00C82084" w:rsidRDefault="00C82084" w:rsidP="002D2A94">
            <w:pPr>
              <w:pStyle w:val="TableParagraph"/>
              <w:rPr>
                <w:sz w:val="24"/>
              </w:rPr>
            </w:pPr>
            <w:r>
              <w:rPr>
                <w:color w:val="202020"/>
                <w:spacing w:val="-2"/>
                <w:sz w:val="24"/>
              </w:rPr>
              <w:t>10608028.</w:t>
            </w:r>
          </w:p>
          <w:p w14:paraId="4A030719" w14:textId="77777777" w:rsidR="00C82084" w:rsidRDefault="00C82084" w:rsidP="002D2A94">
            <w:pPr>
              <w:pStyle w:val="TableParagraph"/>
              <w:ind w:left="0"/>
              <w:rPr>
                <w:b/>
                <w:sz w:val="24"/>
              </w:rPr>
            </w:pPr>
          </w:p>
          <w:p w14:paraId="713433A7" w14:textId="77777777" w:rsidR="00C82084" w:rsidRDefault="00C82084" w:rsidP="002D2A94">
            <w:pPr>
              <w:pStyle w:val="TableParagraph"/>
              <w:spacing w:before="11"/>
              <w:ind w:left="0"/>
              <w:rPr>
                <w:b/>
                <w:sz w:val="23"/>
              </w:rPr>
            </w:pPr>
          </w:p>
          <w:p w14:paraId="7AAE8B3F" w14:textId="77777777" w:rsidR="00C82084" w:rsidRDefault="00C82084" w:rsidP="002D2A94">
            <w:pPr>
              <w:pStyle w:val="TableParagraph"/>
              <w:rPr>
                <w:sz w:val="24"/>
              </w:rPr>
            </w:pPr>
            <w:r>
              <w:rPr>
                <w:color w:val="202020"/>
                <w:sz w:val="24"/>
              </w:rPr>
              <w:t>*Goldhaber</w:t>
            </w:r>
            <w:r>
              <w:rPr>
                <w:color w:val="202020"/>
                <w:spacing w:val="-3"/>
                <w:sz w:val="24"/>
              </w:rPr>
              <w:t xml:space="preserve"> </w:t>
            </w:r>
            <w:r>
              <w:rPr>
                <w:color w:val="202020"/>
                <w:sz w:val="24"/>
              </w:rPr>
              <w:t>SZ,</w:t>
            </w:r>
            <w:r>
              <w:rPr>
                <w:color w:val="202020"/>
                <w:spacing w:val="-2"/>
                <w:sz w:val="24"/>
              </w:rPr>
              <w:t xml:space="preserve"> </w:t>
            </w:r>
            <w:proofErr w:type="spellStart"/>
            <w:r>
              <w:rPr>
                <w:color w:val="202020"/>
                <w:sz w:val="24"/>
              </w:rPr>
              <w:t>Visani</w:t>
            </w:r>
            <w:proofErr w:type="spellEnd"/>
            <w:r>
              <w:rPr>
                <w:color w:val="202020"/>
                <w:sz w:val="24"/>
              </w:rPr>
              <w:t xml:space="preserve"> L,</w:t>
            </w:r>
            <w:r>
              <w:rPr>
                <w:color w:val="202020"/>
                <w:spacing w:val="-4"/>
                <w:sz w:val="24"/>
              </w:rPr>
              <w:t xml:space="preserve"> </w:t>
            </w:r>
            <w:r>
              <w:rPr>
                <w:color w:val="202020"/>
                <w:sz w:val="24"/>
              </w:rPr>
              <w:t>De</w:t>
            </w:r>
            <w:r>
              <w:rPr>
                <w:color w:val="202020"/>
                <w:spacing w:val="1"/>
                <w:sz w:val="24"/>
              </w:rPr>
              <w:t xml:space="preserve"> </w:t>
            </w:r>
            <w:r>
              <w:rPr>
                <w:color w:val="202020"/>
                <w:spacing w:val="-4"/>
                <w:sz w:val="24"/>
              </w:rPr>
              <w:t>Rosa</w:t>
            </w:r>
          </w:p>
          <w:p w14:paraId="1520DA37" w14:textId="77777777" w:rsidR="00C82084" w:rsidRDefault="00C82084" w:rsidP="002D2A94">
            <w:pPr>
              <w:pStyle w:val="TableParagraph"/>
              <w:ind w:right="286"/>
              <w:rPr>
                <w:sz w:val="24"/>
              </w:rPr>
            </w:pPr>
            <w:r>
              <w:rPr>
                <w:color w:val="202020"/>
                <w:sz w:val="24"/>
              </w:rPr>
              <w:t>M.</w:t>
            </w:r>
            <w:r>
              <w:rPr>
                <w:color w:val="202020"/>
                <w:spacing w:val="-12"/>
                <w:sz w:val="24"/>
              </w:rPr>
              <w:t xml:space="preserve"> </w:t>
            </w:r>
            <w:r>
              <w:rPr>
                <w:color w:val="202020"/>
                <w:sz w:val="24"/>
              </w:rPr>
              <w:t>Acute</w:t>
            </w:r>
            <w:r>
              <w:rPr>
                <w:color w:val="202020"/>
                <w:spacing w:val="-13"/>
                <w:sz w:val="24"/>
              </w:rPr>
              <w:t xml:space="preserve"> </w:t>
            </w:r>
            <w:r>
              <w:rPr>
                <w:color w:val="202020"/>
                <w:sz w:val="24"/>
              </w:rPr>
              <w:t>pulmonary</w:t>
            </w:r>
            <w:r>
              <w:rPr>
                <w:color w:val="202020"/>
                <w:spacing w:val="-12"/>
                <w:sz w:val="24"/>
              </w:rPr>
              <w:t xml:space="preserve"> </w:t>
            </w:r>
            <w:r>
              <w:rPr>
                <w:color w:val="202020"/>
                <w:sz w:val="24"/>
              </w:rPr>
              <w:t xml:space="preserve">embolism: clinical outcomes in the International Cooperative Pulmonary Embolism Registry (ICOPER). Lancet. 1999 Apr 24;353(9162):1386-9. </w:t>
            </w:r>
            <w:proofErr w:type="spellStart"/>
            <w:r>
              <w:rPr>
                <w:color w:val="202020"/>
                <w:sz w:val="24"/>
              </w:rPr>
              <w:t>doi</w:t>
            </w:r>
            <w:proofErr w:type="spellEnd"/>
            <w:r>
              <w:rPr>
                <w:color w:val="202020"/>
                <w:sz w:val="24"/>
              </w:rPr>
              <w:t>:</w:t>
            </w:r>
          </w:p>
          <w:p w14:paraId="286019DE" w14:textId="77777777" w:rsidR="00C82084" w:rsidRDefault="00C82084" w:rsidP="002D2A94">
            <w:pPr>
              <w:pStyle w:val="TableParagraph"/>
              <w:spacing w:before="1"/>
              <w:rPr>
                <w:sz w:val="24"/>
              </w:rPr>
            </w:pPr>
            <w:r>
              <w:rPr>
                <w:color w:val="202020"/>
                <w:spacing w:val="-2"/>
                <w:sz w:val="24"/>
              </w:rPr>
              <w:t>10.1016/s0140-6736(98)07534-</w:t>
            </w:r>
          </w:p>
          <w:p w14:paraId="09CD21BC" w14:textId="77777777" w:rsidR="00C82084" w:rsidRDefault="00C82084" w:rsidP="002D2A94">
            <w:pPr>
              <w:pStyle w:val="TableParagraph"/>
              <w:rPr>
                <w:sz w:val="24"/>
              </w:rPr>
            </w:pPr>
            <w:r>
              <w:rPr>
                <w:color w:val="202020"/>
                <w:sz w:val="24"/>
              </w:rPr>
              <w:t>5.</w:t>
            </w:r>
            <w:r>
              <w:rPr>
                <w:color w:val="202020"/>
                <w:spacing w:val="-1"/>
                <w:sz w:val="24"/>
              </w:rPr>
              <w:t xml:space="preserve"> </w:t>
            </w:r>
            <w:r>
              <w:rPr>
                <w:color w:val="202020"/>
                <w:sz w:val="24"/>
              </w:rPr>
              <w:t>PMID:</w:t>
            </w:r>
            <w:r>
              <w:rPr>
                <w:color w:val="202020"/>
                <w:spacing w:val="-1"/>
                <w:sz w:val="24"/>
              </w:rPr>
              <w:t xml:space="preserve"> </w:t>
            </w:r>
            <w:r>
              <w:rPr>
                <w:color w:val="202020"/>
                <w:spacing w:val="-2"/>
                <w:sz w:val="24"/>
              </w:rPr>
              <w:t>10227218.</w:t>
            </w:r>
          </w:p>
        </w:tc>
        <w:tc>
          <w:tcPr>
            <w:tcW w:w="1318" w:type="dxa"/>
          </w:tcPr>
          <w:p w14:paraId="1D93D2BC" w14:textId="77777777" w:rsidR="00C82084" w:rsidRDefault="00C82084" w:rsidP="002D2A94">
            <w:pPr>
              <w:pStyle w:val="TableParagraph"/>
              <w:spacing w:before="11"/>
              <w:ind w:left="0"/>
              <w:rPr>
                <w:b/>
                <w:sz w:val="23"/>
              </w:rPr>
            </w:pPr>
          </w:p>
          <w:p w14:paraId="4B083AEE" w14:textId="77777777" w:rsidR="00C82084" w:rsidRDefault="00C82084" w:rsidP="002D2A94">
            <w:pPr>
              <w:pStyle w:val="TableParagraph"/>
              <w:rPr>
                <w:sz w:val="24"/>
              </w:rPr>
            </w:pPr>
            <w:r>
              <w:rPr>
                <w:sz w:val="24"/>
              </w:rPr>
              <w:t>~2</w:t>
            </w:r>
            <w:r>
              <w:rPr>
                <w:spacing w:val="-1"/>
                <w:sz w:val="24"/>
              </w:rPr>
              <w:t xml:space="preserve"> </w:t>
            </w:r>
            <w:r>
              <w:rPr>
                <w:spacing w:val="-2"/>
                <w:sz w:val="24"/>
              </w:rPr>
              <w:t>(RCT)</w:t>
            </w:r>
          </w:p>
          <w:p w14:paraId="15C9A4FD" w14:textId="77777777" w:rsidR="00C82084" w:rsidRDefault="00C82084" w:rsidP="002D2A94">
            <w:pPr>
              <w:pStyle w:val="TableParagraph"/>
              <w:ind w:left="0"/>
              <w:rPr>
                <w:b/>
                <w:sz w:val="24"/>
              </w:rPr>
            </w:pPr>
          </w:p>
          <w:p w14:paraId="73CB404B" w14:textId="77777777" w:rsidR="00C82084" w:rsidRDefault="00C82084" w:rsidP="002D2A94">
            <w:pPr>
              <w:pStyle w:val="TableParagraph"/>
              <w:ind w:left="0"/>
              <w:rPr>
                <w:b/>
                <w:sz w:val="24"/>
              </w:rPr>
            </w:pPr>
          </w:p>
          <w:p w14:paraId="576E7AE6" w14:textId="77777777" w:rsidR="00C82084" w:rsidRDefault="00C82084" w:rsidP="002D2A94">
            <w:pPr>
              <w:pStyle w:val="TableParagraph"/>
              <w:ind w:left="0"/>
              <w:rPr>
                <w:b/>
                <w:sz w:val="24"/>
              </w:rPr>
            </w:pPr>
          </w:p>
          <w:p w14:paraId="446DBAEC" w14:textId="77777777" w:rsidR="00C82084" w:rsidRDefault="00C82084" w:rsidP="002D2A94">
            <w:pPr>
              <w:pStyle w:val="TableParagraph"/>
              <w:ind w:left="0"/>
              <w:rPr>
                <w:b/>
                <w:sz w:val="24"/>
              </w:rPr>
            </w:pPr>
          </w:p>
          <w:p w14:paraId="40A8C2C1" w14:textId="77777777" w:rsidR="00C82084" w:rsidRDefault="00C82084" w:rsidP="002D2A94">
            <w:pPr>
              <w:pStyle w:val="TableParagraph"/>
              <w:ind w:left="0"/>
              <w:rPr>
                <w:b/>
                <w:sz w:val="24"/>
              </w:rPr>
            </w:pPr>
          </w:p>
          <w:p w14:paraId="254449D8" w14:textId="77777777" w:rsidR="00C82084" w:rsidRDefault="00C82084" w:rsidP="002D2A94">
            <w:pPr>
              <w:pStyle w:val="TableParagraph"/>
              <w:ind w:left="0"/>
              <w:rPr>
                <w:b/>
                <w:sz w:val="24"/>
              </w:rPr>
            </w:pPr>
          </w:p>
          <w:p w14:paraId="47D1B43E" w14:textId="77777777" w:rsidR="00C82084" w:rsidRDefault="00C82084" w:rsidP="002D2A94">
            <w:pPr>
              <w:pStyle w:val="TableParagraph"/>
              <w:ind w:left="0"/>
              <w:rPr>
                <w:b/>
                <w:sz w:val="24"/>
              </w:rPr>
            </w:pPr>
          </w:p>
          <w:p w14:paraId="52FC8105" w14:textId="77777777" w:rsidR="00C82084" w:rsidRDefault="00C82084" w:rsidP="002D2A94">
            <w:pPr>
              <w:pStyle w:val="TableParagraph"/>
              <w:ind w:left="0"/>
              <w:rPr>
                <w:b/>
                <w:sz w:val="24"/>
              </w:rPr>
            </w:pPr>
          </w:p>
          <w:p w14:paraId="3BEE7622" w14:textId="77777777" w:rsidR="00C82084" w:rsidRDefault="00C82084" w:rsidP="002D2A94">
            <w:pPr>
              <w:pStyle w:val="TableParagraph"/>
              <w:ind w:left="0"/>
              <w:rPr>
                <w:b/>
                <w:sz w:val="24"/>
              </w:rPr>
            </w:pPr>
          </w:p>
          <w:p w14:paraId="4636BD9C" w14:textId="77777777" w:rsidR="00C82084" w:rsidRDefault="00C82084" w:rsidP="002D2A94">
            <w:pPr>
              <w:pStyle w:val="TableParagraph"/>
              <w:ind w:left="0"/>
              <w:rPr>
                <w:b/>
                <w:sz w:val="24"/>
              </w:rPr>
            </w:pPr>
          </w:p>
          <w:p w14:paraId="3D14D98C" w14:textId="77777777" w:rsidR="00C82084" w:rsidRDefault="00C82084" w:rsidP="002D2A94">
            <w:pPr>
              <w:pStyle w:val="TableParagraph"/>
              <w:ind w:left="0"/>
              <w:rPr>
                <w:b/>
                <w:sz w:val="24"/>
              </w:rPr>
            </w:pPr>
          </w:p>
          <w:p w14:paraId="63EA9B76" w14:textId="77777777" w:rsidR="00C82084" w:rsidRDefault="00C82084" w:rsidP="002D2A94">
            <w:pPr>
              <w:pStyle w:val="TableParagraph"/>
              <w:ind w:left="0"/>
              <w:rPr>
                <w:b/>
                <w:sz w:val="24"/>
              </w:rPr>
            </w:pPr>
          </w:p>
          <w:p w14:paraId="3A5AE246" w14:textId="77777777" w:rsidR="00C82084" w:rsidRDefault="00C82084" w:rsidP="002D2A94">
            <w:pPr>
              <w:pStyle w:val="TableParagraph"/>
              <w:ind w:left="0"/>
              <w:rPr>
                <w:b/>
                <w:sz w:val="24"/>
              </w:rPr>
            </w:pPr>
          </w:p>
          <w:p w14:paraId="4BA75A31" w14:textId="77777777" w:rsidR="00C82084" w:rsidRDefault="00C82084" w:rsidP="002D2A94">
            <w:pPr>
              <w:pStyle w:val="TableParagraph"/>
              <w:ind w:left="0"/>
              <w:rPr>
                <w:b/>
                <w:sz w:val="24"/>
              </w:rPr>
            </w:pPr>
          </w:p>
          <w:p w14:paraId="6E3BDD91" w14:textId="77777777" w:rsidR="00C82084" w:rsidRDefault="00C82084" w:rsidP="002D2A94">
            <w:pPr>
              <w:pStyle w:val="TableParagraph"/>
              <w:ind w:left="0"/>
              <w:rPr>
                <w:b/>
                <w:sz w:val="24"/>
              </w:rPr>
            </w:pPr>
          </w:p>
          <w:p w14:paraId="09B006BB" w14:textId="77777777" w:rsidR="00C82084" w:rsidRDefault="00C82084" w:rsidP="002D2A94">
            <w:pPr>
              <w:pStyle w:val="TableParagraph"/>
              <w:ind w:right="212"/>
              <w:rPr>
                <w:sz w:val="24"/>
              </w:rPr>
            </w:pPr>
            <w:r>
              <w:rPr>
                <w:sz w:val="24"/>
              </w:rPr>
              <w:t>*3</w:t>
            </w:r>
            <w:r>
              <w:rPr>
                <w:spacing w:val="-14"/>
                <w:sz w:val="24"/>
              </w:rPr>
              <w:t xml:space="preserve"> </w:t>
            </w:r>
            <w:r>
              <w:rPr>
                <w:sz w:val="24"/>
              </w:rPr>
              <w:t xml:space="preserve">(Retro- </w:t>
            </w:r>
            <w:proofErr w:type="spellStart"/>
            <w:r>
              <w:rPr>
                <w:spacing w:val="-2"/>
                <w:sz w:val="24"/>
              </w:rPr>
              <w:t>spective</w:t>
            </w:r>
            <w:proofErr w:type="spellEnd"/>
            <w:r>
              <w:rPr>
                <w:spacing w:val="-2"/>
                <w:sz w:val="24"/>
              </w:rPr>
              <w:t xml:space="preserve"> review)</w:t>
            </w:r>
          </w:p>
        </w:tc>
      </w:tr>
      <w:tr w:rsidR="00C82084" w:rsidRPr="00FB0B13" w14:paraId="0F7B5919" w14:textId="77777777" w:rsidTr="002D2A94">
        <w:trPr>
          <w:trHeight w:val="1466"/>
        </w:trPr>
        <w:tc>
          <w:tcPr>
            <w:tcW w:w="4548" w:type="dxa"/>
          </w:tcPr>
          <w:p w14:paraId="0C3A4D41" w14:textId="77777777" w:rsidR="00C82084" w:rsidRPr="00FB0B13" w:rsidRDefault="00C82084" w:rsidP="002D2A94">
            <w:pPr>
              <w:pStyle w:val="TableParagraph"/>
              <w:ind w:right="826"/>
              <w:rPr>
                <w:rFonts w:asciiTheme="minorHAnsi" w:hAnsiTheme="minorHAnsi" w:cstheme="minorHAnsi"/>
                <w:sz w:val="24"/>
              </w:rPr>
            </w:pPr>
            <w:r w:rsidRPr="00FB0B13">
              <w:rPr>
                <w:rFonts w:asciiTheme="minorHAnsi" w:hAnsiTheme="minorHAnsi" w:cstheme="minorHAnsi"/>
                <w:sz w:val="24"/>
              </w:rPr>
              <w:t>Risk of bleeding with r-tPA use: Major</w:t>
            </w:r>
            <w:r w:rsidRPr="00FB0B13">
              <w:rPr>
                <w:rFonts w:asciiTheme="minorHAnsi" w:hAnsiTheme="minorHAnsi" w:cstheme="minorHAnsi"/>
                <w:spacing w:val="-7"/>
                <w:sz w:val="24"/>
              </w:rPr>
              <w:t xml:space="preserve"> </w:t>
            </w:r>
            <w:r w:rsidRPr="00FB0B13">
              <w:rPr>
                <w:rFonts w:asciiTheme="minorHAnsi" w:hAnsiTheme="minorHAnsi" w:cstheme="minorHAnsi"/>
                <w:sz w:val="24"/>
              </w:rPr>
              <w:t>bleeding</w:t>
            </w:r>
            <w:r w:rsidRPr="00FB0B13">
              <w:rPr>
                <w:rFonts w:asciiTheme="minorHAnsi" w:hAnsiTheme="minorHAnsi" w:cstheme="minorHAnsi"/>
                <w:spacing w:val="-7"/>
                <w:sz w:val="24"/>
              </w:rPr>
              <w:t xml:space="preserve"> </w:t>
            </w:r>
            <w:r w:rsidRPr="00FB0B13">
              <w:rPr>
                <w:rFonts w:asciiTheme="minorHAnsi" w:hAnsiTheme="minorHAnsi" w:cstheme="minorHAnsi"/>
                <w:sz w:val="24"/>
              </w:rPr>
              <w:t>may</w:t>
            </w:r>
            <w:r w:rsidRPr="00FB0B13">
              <w:rPr>
                <w:rFonts w:asciiTheme="minorHAnsi" w:hAnsiTheme="minorHAnsi" w:cstheme="minorHAnsi"/>
                <w:spacing w:val="-6"/>
                <w:sz w:val="24"/>
              </w:rPr>
              <w:t xml:space="preserve"> </w:t>
            </w:r>
            <w:r w:rsidRPr="00FB0B13">
              <w:rPr>
                <w:rFonts w:asciiTheme="minorHAnsi" w:hAnsiTheme="minorHAnsi" w:cstheme="minorHAnsi"/>
                <w:sz w:val="24"/>
              </w:rPr>
              <w:t>occur</w:t>
            </w:r>
            <w:r w:rsidRPr="00FB0B13">
              <w:rPr>
                <w:rFonts w:asciiTheme="minorHAnsi" w:hAnsiTheme="minorHAnsi" w:cstheme="minorHAnsi"/>
                <w:spacing w:val="-5"/>
                <w:sz w:val="24"/>
              </w:rPr>
              <w:t xml:space="preserve"> </w:t>
            </w:r>
            <w:r w:rsidRPr="00FB0B13">
              <w:rPr>
                <w:rFonts w:asciiTheme="minorHAnsi" w:hAnsiTheme="minorHAnsi" w:cstheme="minorHAnsi"/>
                <w:sz w:val="24"/>
              </w:rPr>
              <w:t>in</w:t>
            </w:r>
            <w:r w:rsidRPr="00FB0B13">
              <w:rPr>
                <w:rFonts w:asciiTheme="minorHAnsi" w:hAnsiTheme="minorHAnsi" w:cstheme="minorHAnsi"/>
                <w:spacing w:val="-7"/>
                <w:sz w:val="24"/>
              </w:rPr>
              <w:t xml:space="preserve"> </w:t>
            </w:r>
            <w:r w:rsidRPr="00FB0B13">
              <w:rPr>
                <w:rFonts w:asciiTheme="minorHAnsi" w:hAnsiTheme="minorHAnsi" w:cstheme="minorHAnsi"/>
                <w:sz w:val="24"/>
              </w:rPr>
              <w:t>20%</w:t>
            </w:r>
            <w:r w:rsidRPr="00FB0B13">
              <w:rPr>
                <w:rFonts w:asciiTheme="minorHAnsi" w:hAnsiTheme="minorHAnsi" w:cstheme="minorHAnsi"/>
                <w:spacing w:val="-7"/>
                <w:sz w:val="24"/>
              </w:rPr>
              <w:t xml:space="preserve"> </w:t>
            </w:r>
            <w:r w:rsidRPr="00FB0B13">
              <w:rPr>
                <w:rFonts w:asciiTheme="minorHAnsi" w:hAnsiTheme="minorHAnsi" w:cstheme="minorHAnsi"/>
                <w:sz w:val="24"/>
              </w:rPr>
              <w:t xml:space="preserve">of </w:t>
            </w:r>
            <w:r w:rsidRPr="00FB0B13">
              <w:rPr>
                <w:rFonts w:asciiTheme="minorHAnsi" w:hAnsiTheme="minorHAnsi" w:cstheme="minorHAnsi"/>
                <w:spacing w:val="-2"/>
                <w:sz w:val="24"/>
              </w:rPr>
              <w:t>patients.</w:t>
            </w:r>
          </w:p>
        </w:tc>
        <w:tc>
          <w:tcPr>
            <w:tcW w:w="3485" w:type="dxa"/>
          </w:tcPr>
          <w:p w14:paraId="33B26897" w14:textId="77777777" w:rsidR="00C82084" w:rsidRPr="00FB0B13" w:rsidRDefault="00C82084" w:rsidP="002D2A94">
            <w:pPr>
              <w:pStyle w:val="TableParagraph"/>
              <w:spacing w:line="274" w:lineRule="exact"/>
              <w:rPr>
                <w:rFonts w:asciiTheme="minorHAnsi" w:hAnsiTheme="minorHAnsi" w:cstheme="minorHAnsi"/>
                <w:sz w:val="24"/>
              </w:rPr>
            </w:pPr>
            <w:r w:rsidRPr="00FB0B13">
              <w:rPr>
                <w:rFonts w:asciiTheme="minorHAnsi" w:hAnsiTheme="minorHAnsi" w:cstheme="minorHAnsi"/>
                <w:color w:val="2F2F2F"/>
                <w:sz w:val="24"/>
              </w:rPr>
              <w:t>Miller</w:t>
            </w:r>
            <w:r w:rsidRPr="00FB0B13">
              <w:rPr>
                <w:rFonts w:asciiTheme="minorHAnsi" w:hAnsiTheme="minorHAnsi" w:cstheme="minorHAnsi"/>
                <w:color w:val="2F2F2F"/>
                <w:spacing w:val="-3"/>
                <w:sz w:val="24"/>
              </w:rPr>
              <w:t xml:space="preserve"> </w:t>
            </w:r>
            <w:r w:rsidRPr="00FB0B13">
              <w:rPr>
                <w:rFonts w:asciiTheme="minorHAnsi" w:hAnsiTheme="minorHAnsi" w:cstheme="minorHAnsi"/>
                <w:color w:val="2F2F2F"/>
                <w:sz w:val="24"/>
              </w:rPr>
              <w:t>DJ,</w:t>
            </w:r>
            <w:r w:rsidRPr="00FB0B13">
              <w:rPr>
                <w:rFonts w:asciiTheme="minorHAnsi" w:hAnsiTheme="minorHAnsi" w:cstheme="minorHAnsi"/>
                <w:color w:val="2F2F2F"/>
                <w:spacing w:val="-1"/>
                <w:sz w:val="24"/>
              </w:rPr>
              <w:t xml:space="preserve"> </w:t>
            </w:r>
            <w:r w:rsidRPr="00FB0B13">
              <w:rPr>
                <w:rFonts w:asciiTheme="minorHAnsi" w:hAnsiTheme="minorHAnsi" w:cstheme="minorHAnsi"/>
                <w:color w:val="2F2F2F"/>
                <w:sz w:val="24"/>
              </w:rPr>
              <w:t>Simpson</w:t>
            </w:r>
            <w:r w:rsidRPr="00FB0B13">
              <w:rPr>
                <w:rFonts w:asciiTheme="minorHAnsi" w:hAnsiTheme="minorHAnsi" w:cstheme="minorHAnsi"/>
                <w:color w:val="2F2F2F"/>
                <w:spacing w:val="-3"/>
                <w:sz w:val="24"/>
              </w:rPr>
              <w:t xml:space="preserve"> </w:t>
            </w:r>
            <w:r w:rsidRPr="00FB0B13">
              <w:rPr>
                <w:rFonts w:asciiTheme="minorHAnsi" w:hAnsiTheme="minorHAnsi" w:cstheme="minorHAnsi"/>
                <w:color w:val="2F2F2F"/>
                <w:sz w:val="24"/>
              </w:rPr>
              <w:t>JR,</w:t>
            </w:r>
            <w:r w:rsidRPr="00FB0B13">
              <w:rPr>
                <w:rFonts w:asciiTheme="minorHAnsi" w:hAnsiTheme="minorHAnsi" w:cstheme="minorHAnsi"/>
                <w:color w:val="2F2F2F"/>
                <w:spacing w:val="-3"/>
                <w:sz w:val="24"/>
              </w:rPr>
              <w:t xml:space="preserve"> </w:t>
            </w:r>
            <w:r w:rsidRPr="00FB0B13">
              <w:rPr>
                <w:rFonts w:asciiTheme="minorHAnsi" w:hAnsiTheme="minorHAnsi" w:cstheme="minorHAnsi"/>
                <w:color w:val="2F2F2F"/>
                <w:spacing w:val="-2"/>
                <w:sz w:val="24"/>
              </w:rPr>
              <w:t>Silver</w:t>
            </w:r>
          </w:p>
          <w:p w14:paraId="5E63489D" w14:textId="77777777" w:rsidR="00C82084" w:rsidRPr="00FB0B13" w:rsidRDefault="00C82084" w:rsidP="002D2A94">
            <w:pPr>
              <w:pStyle w:val="TableParagraph"/>
              <w:ind w:right="144"/>
              <w:rPr>
                <w:rFonts w:asciiTheme="minorHAnsi" w:hAnsiTheme="minorHAnsi" w:cstheme="minorHAnsi"/>
                <w:sz w:val="24"/>
              </w:rPr>
            </w:pPr>
            <w:r w:rsidRPr="00FB0B13">
              <w:rPr>
                <w:rFonts w:asciiTheme="minorHAnsi" w:hAnsiTheme="minorHAnsi" w:cstheme="minorHAnsi"/>
                <w:color w:val="2F2F2F"/>
                <w:sz w:val="24"/>
              </w:rPr>
              <w:t>B. Safety of thrombolysis in acute ischemic stroke: a review</w:t>
            </w:r>
            <w:r w:rsidRPr="00FB0B13">
              <w:rPr>
                <w:rFonts w:asciiTheme="minorHAnsi" w:hAnsiTheme="minorHAnsi" w:cstheme="minorHAnsi"/>
                <w:color w:val="2F2F2F"/>
                <w:spacing w:val="-15"/>
                <w:sz w:val="24"/>
              </w:rPr>
              <w:t xml:space="preserve"> </w:t>
            </w:r>
            <w:r w:rsidRPr="00FB0B13">
              <w:rPr>
                <w:rFonts w:asciiTheme="minorHAnsi" w:hAnsiTheme="minorHAnsi" w:cstheme="minorHAnsi"/>
                <w:color w:val="2F2F2F"/>
                <w:sz w:val="24"/>
              </w:rPr>
              <w:t>of</w:t>
            </w:r>
            <w:r w:rsidRPr="00FB0B13">
              <w:rPr>
                <w:rFonts w:asciiTheme="minorHAnsi" w:hAnsiTheme="minorHAnsi" w:cstheme="minorHAnsi"/>
                <w:color w:val="2F2F2F"/>
                <w:spacing w:val="-11"/>
                <w:sz w:val="24"/>
              </w:rPr>
              <w:t xml:space="preserve"> </w:t>
            </w:r>
            <w:r w:rsidRPr="00FB0B13">
              <w:rPr>
                <w:rFonts w:asciiTheme="minorHAnsi" w:hAnsiTheme="minorHAnsi" w:cstheme="minorHAnsi"/>
                <w:color w:val="2F2F2F"/>
                <w:sz w:val="24"/>
              </w:rPr>
              <w:t>complications,</w:t>
            </w:r>
            <w:r w:rsidRPr="00FB0B13">
              <w:rPr>
                <w:rFonts w:asciiTheme="minorHAnsi" w:hAnsiTheme="minorHAnsi" w:cstheme="minorHAnsi"/>
                <w:color w:val="2F2F2F"/>
                <w:spacing w:val="-12"/>
                <w:sz w:val="24"/>
              </w:rPr>
              <w:t xml:space="preserve"> </w:t>
            </w:r>
            <w:r w:rsidRPr="00FB0B13">
              <w:rPr>
                <w:rFonts w:asciiTheme="minorHAnsi" w:hAnsiTheme="minorHAnsi" w:cstheme="minorHAnsi"/>
                <w:color w:val="2F2F2F"/>
                <w:sz w:val="24"/>
              </w:rPr>
              <w:t>risk factors, and newer</w:t>
            </w:r>
          </w:p>
        </w:tc>
        <w:tc>
          <w:tcPr>
            <w:tcW w:w="1318" w:type="dxa"/>
          </w:tcPr>
          <w:p w14:paraId="21E58E1F" w14:textId="77777777" w:rsidR="00C82084" w:rsidRPr="00FB0B13" w:rsidRDefault="00C82084" w:rsidP="002D2A94">
            <w:pPr>
              <w:pStyle w:val="TableParagraph"/>
              <w:ind w:right="214"/>
              <w:rPr>
                <w:rFonts w:asciiTheme="minorHAnsi" w:hAnsiTheme="minorHAnsi" w:cstheme="minorHAnsi"/>
                <w:sz w:val="24"/>
              </w:rPr>
            </w:pPr>
            <w:r w:rsidRPr="00FB0B13">
              <w:rPr>
                <w:rFonts w:asciiTheme="minorHAnsi" w:hAnsiTheme="minorHAnsi" w:cstheme="minorHAnsi"/>
                <w:spacing w:val="-2"/>
                <w:sz w:val="24"/>
              </w:rPr>
              <w:t xml:space="preserve">1(Peer Reviewed </w:t>
            </w:r>
            <w:r w:rsidRPr="00FB0B13">
              <w:rPr>
                <w:rFonts w:asciiTheme="minorHAnsi" w:hAnsiTheme="minorHAnsi" w:cstheme="minorHAnsi"/>
                <w:sz w:val="24"/>
              </w:rPr>
              <w:t>Book</w:t>
            </w:r>
            <w:r w:rsidRPr="00FB0B13">
              <w:rPr>
                <w:rFonts w:asciiTheme="minorHAnsi" w:hAnsiTheme="minorHAnsi" w:cstheme="minorHAnsi"/>
                <w:spacing w:val="-14"/>
                <w:sz w:val="24"/>
              </w:rPr>
              <w:t xml:space="preserve"> </w:t>
            </w:r>
            <w:r w:rsidRPr="00FB0B13">
              <w:rPr>
                <w:rFonts w:asciiTheme="minorHAnsi" w:hAnsiTheme="minorHAnsi" w:cstheme="minorHAnsi"/>
                <w:sz w:val="24"/>
              </w:rPr>
              <w:t xml:space="preserve">with </w:t>
            </w:r>
            <w:r w:rsidRPr="00FB0B13">
              <w:rPr>
                <w:rFonts w:asciiTheme="minorHAnsi" w:hAnsiTheme="minorHAnsi" w:cstheme="minorHAnsi"/>
                <w:spacing w:val="-2"/>
                <w:sz w:val="24"/>
              </w:rPr>
              <w:t>RCTs,</w:t>
            </w:r>
          </w:p>
          <w:p w14:paraId="7E8A01FE" w14:textId="77777777" w:rsidR="00C82084" w:rsidRPr="00FB0B13" w:rsidRDefault="00C82084" w:rsidP="002D2A94">
            <w:pPr>
              <w:pStyle w:val="TableParagraph"/>
              <w:spacing w:line="275" w:lineRule="exact"/>
              <w:rPr>
                <w:rFonts w:asciiTheme="minorHAnsi" w:hAnsiTheme="minorHAnsi" w:cstheme="minorHAnsi"/>
                <w:sz w:val="24"/>
              </w:rPr>
            </w:pPr>
            <w:r w:rsidRPr="00FB0B13">
              <w:rPr>
                <w:rFonts w:asciiTheme="minorHAnsi" w:hAnsiTheme="minorHAnsi" w:cstheme="minorHAnsi"/>
                <w:spacing w:val="-2"/>
                <w:sz w:val="24"/>
              </w:rPr>
              <w:t>Meta-</w:t>
            </w:r>
          </w:p>
        </w:tc>
      </w:tr>
    </w:tbl>
    <w:p w14:paraId="0A15D63F" w14:textId="77777777" w:rsidR="00C82084" w:rsidRPr="00FB0B13" w:rsidRDefault="00C82084" w:rsidP="00C82084">
      <w:pPr>
        <w:spacing w:line="275" w:lineRule="exact"/>
        <w:rPr>
          <w:rFonts w:cstheme="minorHAnsi"/>
          <w:sz w:val="24"/>
        </w:rPr>
        <w:sectPr w:rsidR="00C82084" w:rsidRPr="00FB0B13">
          <w:type w:val="continuous"/>
          <w:pgSz w:w="12240" w:h="15840"/>
          <w:pgMar w:top="1420" w:right="1340" w:bottom="280" w:left="1340" w:header="720" w:footer="720"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48"/>
        <w:gridCol w:w="3485"/>
        <w:gridCol w:w="1318"/>
      </w:tblGrid>
      <w:tr w:rsidR="00C82084" w:rsidRPr="00FB0B13" w14:paraId="049F9085" w14:textId="77777777" w:rsidTr="002D2A94">
        <w:trPr>
          <w:trHeight w:val="2637"/>
        </w:trPr>
        <w:tc>
          <w:tcPr>
            <w:tcW w:w="4548" w:type="dxa"/>
          </w:tcPr>
          <w:p w14:paraId="02C8F147" w14:textId="77777777" w:rsidR="00C82084" w:rsidRPr="00FB0B13" w:rsidRDefault="00C82084" w:rsidP="002D2A94">
            <w:pPr>
              <w:pStyle w:val="TableParagraph"/>
              <w:ind w:right="215"/>
              <w:rPr>
                <w:rFonts w:asciiTheme="minorHAnsi" w:hAnsiTheme="minorHAnsi" w:cstheme="minorHAnsi"/>
                <w:sz w:val="24"/>
              </w:rPr>
            </w:pPr>
            <w:r w:rsidRPr="00FB0B13">
              <w:rPr>
                <w:rFonts w:asciiTheme="minorHAnsi" w:hAnsiTheme="minorHAnsi" w:cstheme="minorHAnsi"/>
                <w:sz w:val="24"/>
              </w:rPr>
              <w:lastRenderedPageBreak/>
              <w:t>Hemorrhagic</w:t>
            </w:r>
            <w:r w:rsidRPr="00FB0B13">
              <w:rPr>
                <w:rFonts w:asciiTheme="minorHAnsi" w:hAnsiTheme="minorHAnsi" w:cstheme="minorHAnsi"/>
                <w:spacing w:val="-9"/>
                <w:sz w:val="24"/>
              </w:rPr>
              <w:t xml:space="preserve"> </w:t>
            </w:r>
            <w:r w:rsidRPr="00FB0B13">
              <w:rPr>
                <w:rFonts w:asciiTheme="minorHAnsi" w:hAnsiTheme="minorHAnsi" w:cstheme="minorHAnsi"/>
                <w:sz w:val="24"/>
              </w:rPr>
              <w:t>complications</w:t>
            </w:r>
            <w:r w:rsidRPr="00FB0B13">
              <w:rPr>
                <w:rFonts w:asciiTheme="minorHAnsi" w:hAnsiTheme="minorHAnsi" w:cstheme="minorHAnsi"/>
                <w:spacing w:val="-9"/>
                <w:sz w:val="24"/>
              </w:rPr>
              <w:t xml:space="preserve"> </w:t>
            </w:r>
            <w:r w:rsidRPr="00FB0B13">
              <w:rPr>
                <w:rFonts w:asciiTheme="minorHAnsi" w:hAnsiTheme="minorHAnsi" w:cstheme="minorHAnsi"/>
                <w:sz w:val="24"/>
              </w:rPr>
              <w:t>are</w:t>
            </w:r>
            <w:r w:rsidRPr="00FB0B13">
              <w:rPr>
                <w:rFonts w:asciiTheme="minorHAnsi" w:hAnsiTheme="minorHAnsi" w:cstheme="minorHAnsi"/>
                <w:spacing w:val="-10"/>
                <w:sz w:val="24"/>
              </w:rPr>
              <w:t xml:space="preserve"> </w:t>
            </w:r>
            <w:r w:rsidRPr="00FB0B13">
              <w:rPr>
                <w:rFonts w:asciiTheme="minorHAnsi" w:hAnsiTheme="minorHAnsi" w:cstheme="minorHAnsi"/>
                <w:sz w:val="24"/>
              </w:rPr>
              <w:t>higher</w:t>
            </w:r>
            <w:r w:rsidRPr="00FB0B13">
              <w:rPr>
                <w:rFonts w:asciiTheme="minorHAnsi" w:hAnsiTheme="minorHAnsi" w:cstheme="minorHAnsi"/>
                <w:spacing w:val="-8"/>
                <w:sz w:val="24"/>
              </w:rPr>
              <w:t xml:space="preserve"> </w:t>
            </w:r>
            <w:r w:rsidRPr="00FB0B13">
              <w:rPr>
                <w:rFonts w:asciiTheme="minorHAnsi" w:hAnsiTheme="minorHAnsi" w:cstheme="minorHAnsi"/>
                <w:sz w:val="24"/>
              </w:rPr>
              <w:t>with r-tPA use than with anticoagulation alone (9.2% vs 3.4%).</w:t>
            </w:r>
          </w:p>
          <w:p w14:paraId="71DCE1B8" w14:textId="77777777" w:rsidR="00C82084" w:rsidRPr="00FB0B13" w:rsidRDefault="00C82084" w:rsidP="002D2A94">
            <w:pPr>
              <w:pStyle w:val="TableParagraph"/>
              <w:spacing w:before="10"/>
              <w:ind w:left="0"/>
              <w:rPr>
                <w:rFonts w:asciiTheme="minorHAnsi" w:hAnsiTheme="minorHAnsi" w:cstheme="minorHAnsi"/>
                <w:b/>
                <w:sz w:val="23"/>
              </w:rPr>
            </w:pPr>
          </w:p>
          <w:p w14:paraId="41CC4123" w14:textId="77777777" w:rsidR="00C82084" w:rsidRPr="00FB0B13" w:rsidRDefault="00C82084" w:rsidP="002D2A94">
            <w:pPr>
              <w:pStyle w:val="TableParagraph"/>
              <w:spacing w:before="1"/>
              <w:ind w:right="113"/>
              <w:rPr>
                <w:rFonts w:asciiTheme="minorHAnsi" w:hAnsiTheme="minorHAnsi" w:cstheme="minorHAnsi"/>
                <w:sz w:val="24"/>
              </w:rPr>
            </w:pPr>
            <w:r w:rsidRPr="00FB0B13">
              <w:rPr>
                <w:rFonts w:asciiTheme="minorHAnsi" w:hAnsiTheme="minorHAnsi" w:cstheme="minorHAnsi"/>
                <w:sz w:val="24"/>
              </w:rPr>
              <w:t>Intracranial hemorrhage can be a devastating adverse event leading to significant</w:t>
            </w:r>
            <w:r w:rsidRPr="00FB0B13">
              <w:rPr>
                <w:rFonts w:asciiTheme="minorHAnsi" w:hAnsiTheme="minorHAnsi" w:cstheme="minorHAnsi"/>
                <w:spacing w:val="-5"/>
                <w:sz w:val="24"/>
              </w:rPr>
              <w:t xml:space="preserve"> </w:t>
            </w:r>
            <w:r w:rsidRPr="00FB0B13">
              <w:rPr>
                <w:rFonts w:asciiTheme="minorHAnsi" w:hAnsiTheme="minorHAnsi" w:cstheme="minorHAnsi"/>
                <w:sz w:val="24"/>
              </w:rPr>
              <w:t>morbidity</w:t>
            </w:r>
            <w:r w:rsidRPr="00FB0B13">
              <w:rPr>
                <w:rFonts w:asciiTheme="minorHAnsi" w:hAnsiTheme="minorHAnsi" w:cstheme="minorHAnsi"/>
                <w:spacing w:val="-7"/>
                <w:sz w:val="24"/>
              </w:rPr>
              <w:t xml:space="preserve"> </w:t>
            </w:r>
            <w:r w:rsidRPr="00FB0B13">
              <w:rPr>
                <w:rFonts w:asciiTheme="minorHAnsi" w:hAnsiTheme="minorHAnsi" w:cstheme="minorHAnsi"/>
                <w:sz w:val="24"/>
              </w:rPr>
              <w:t>or</w:t>
            </w:r>
            <w:r w:rsidRPr="00FB0B13">
              <w:rPr>
                <w:rFonts w:asciiTheme="minorHAnsi" w:hAnsiTheme="minorHAnsi" w:cstheme="minorHAnsi"/>
                <w:spacing w:val="-9"/>
                <w:sz w:val="24"/>
              </w:rPr>
              <w:t xml:space="preserve"> </w:t>
            </w:r>
            <w:r w:rsidRPr="00FB0B13">
              <w:rPr>
                <w:rFonts w:asciiTheme="minorHAnsi" w:hAnsiTheme="minorHAnsi" w:cstheme="minorHAnsi"/>
                <w:sz w:val="24"/>
              </w:rPr>
              <w:t>mortality</w:t>
            </w:r>
            <w:r w:rsidRPr="00FB0B13">
              <w:rPr>
                <w:rFonts w:asciiTheme="minorHAnsi" w:hAnsiTheme="minorHAnsi" w:cstheme="minorHAnsi"/>
                <w:spacing w:val="-7"/>
                <w:sz w:val="24"/>
              </w:rPr>
              <w:t xml:space="preserve"> </w:t>
            </w:r>
            <w:r w:rsidRPr="00FB0B13">
              <w:rPr>
                <w:rFonts w:asciiTheme="minorHAnsi" w:hAnsiTheme="minorHAnsi" w:cstheme="minorHAnsi"/>
                <w:sz w:val="24"/>
              </w:rPr>
              <w:t>after</w:t>
            </w:r>
            <w:r w:rsidRPr="00FB0B13">
              <w:rPr>
                <w:rFonts w:asciiTheme="minorHAnsi" w:hAnsiTheme="minorHAnsi" w:cstheme="minorHAnsi"/>
                <w:spacing w:val="-9"/>
                <w:sz w:val="24"/>
              </w:rPr>
              <w:t xml:space="preserve"> </w:t>
            </w:r>
            <w:r w:rsidRPr="00FB0B13">
              <w:rPr>
                <w:rFonts w:asciiTheme="minorHAnsi" w:hAnsiTheme="minorHAnsi" w:cstheme="minorHAnsi"/>
                <w:sz w:val="24"/>
              </w:rPr>
              <w:t xml:space="preserve">r-tPA </w:t>
            </w:r>
            <w:proofErr w:type="gramStart"/>
            <w:r w:rsidRPr="00FB0B13">
              <w:rPr>
                <w:rFonts w:asciiTheme="minorHAnsi" w:hAnsiTheme="minorHAnsi" w:cstheme="minorHAnsi"/>
                <w:sz w:val="24"/>
              </w:rPr>
              <w:t>use, and</w:t>
            </w:r>
            <w:proofErr w:type="gramEnd"/>
            <w:r w:rsidRPr="00FB0B13">
              <w:rPr>
                <w:rFonts w:asciiTheme="minorHAnsi" w:hAnsiTheme="minorHAnsi" w:cstheme="minorHAnsi"/>
                <w:sz w:val="24"/>
              </w:rPr>
              <w:t xml:space="preserve"> occurs in 1.5-3% of all patients.</w:t>
            </w:r>
          </w:p>
        </w:tc>
        <w:tc>
          <w:tcPr>
            <w:tcW w:w="3485" w:type="dxa"/>
          </w:tcPr>
          <w:p w14:paraId="53EBBED8" w14:textId="77777777" w:rsidR="00C82084" w:rsidRPr="00FB0B13" w:rsidRDefault="00C82084" w:rsidP="002D2A94">
            <w:pPr>
              <w:pStyle w:val="TableParagraph"/>
              <w:spacing w:line="242" w:lineRule="auto"/>
              <w:ind w:right="94"/>
              <w:rPr>
                <w:rFonts w:asciiTheme="minorHAnsi" w:hAnsiTheme="minorHAnsi" w:cstheme="minorHAnsi"/>
                <w:sz w:val="24"/>
              </w:rPr>
            </w:pPr>
            <w:r w:rsidRPr="00FB0B13">
              <w:rPr>
                <w:rFonts w:asciiTheme="minorHAnsi" w:hAnsiTheme="minorHAnsi" w:cstheme="minorHAnsi"/>
                <w:color w:val="2F2F2F"/>
                <w:sz w:val="24"/>
              </w:rPr>
              <w:t>technologies.</w:t>
            </w:r>
            <w:r w:rsidRPr="00FB0B13">
              <w:rPr>
                <w:rFonts w:asciiTheme="minorHAnsi" w:hAnsiTheme="minorHAnsi" w:cstheme="minorHAnsi"/>
                <w:color w:val="2F2F2F"/>
                <w:spacing w:val="-17"/>
                <w:sz w:val="24"/>
              </w:rPr>
              <w:t xml:space="preserve"> </w:t>
            </w:r>
            <w:proofErr w:type="spellStart"/>
            <w:r w:rsidRPr="00FB0B13">
              <w:rPr>
                <w:rFonts w:asciiTheme="minorHAnsi" w:hAnsiTheme="minorHAnsi" w:cstheme="minorHAnsi"/>
                <w:i/>
                <w:color w:val="2F2F2F"/>
                <w:sz w:val="24"/>
              </w:rPr>
              <w:t>Neurohospitalist</w:t>
            </w:r>
            <w:proofErr w:type="spellEnd"/>
            <w:r w:rsidRPr="00FB0B13">
              <w:rPr>
                <w:rFonts w:asciiTheme="minorHAnsi" w:hAnsiTheme="minorHAnsi" w:cstheme="minorHAnsi"/>
                <w:color w:val="2F2F2F"/>
                <w:sz w:val="24"/>
              </w:rPr>
              <w:t xml:space="preserve">. </w:t>
            </w:r>
            <w:r w:rsidRPr="00FB0B13">
              <w:rPr>
                <w:rFonts w:asciiTheme="minorHAnsi" w:hAnsiTheme="minorHAnsi" w:cstheme="minorHAnsi"/>
                <w:color w:val="2F2F2F"/>
                <w:spacing w:val="-2"/>
                <w:sz w:val="24"/>
              </w:rPr>
              <w:t>2011;1(3):138-147.</w:t>
            </w:r>
          </w:p>
          <w:p w14:paraId="16054A39" w14:textId="77777777" w:rsidR="00C82084" w:rsidRPr="00FB0B13" w:rsidRDefault="00C82084" w:rsidP="002D2A94">
            <w:pPr>
              <w:pStyle w:val="TableParagraph"/>
              <w:rPr>
                <w:rFonts w:asciiTheme="minorHAnsi" w:hAnsiTheme="minorHAnsi" w:cstheme="minorHAnsi"/>
                <w:sz w:val="24"/>
              </w:rPr>
            </w:pPr>
            <w:r w:rsidRPr="00FB0B13">
              <w:rPr>
                <w:rFonts w:asciiTheme="minorHAnsi" w:hAnsiTheme="minorHAnsi" w:cstheme="minorHAnsi"/>
                <w:color w:val="2F2F2F"/>
                <w:spacing w:val="-2"/>
                <w:sz w:val="24"/>
              </w:rPr>
              <w:t>doi:10.1177/ 1941875211408731</w:t>
            </w:r>
          </w:p>
        </w:tc>
        <w:tc>
          <w:tcPr>
            <w:tcW w:w="1318" w:type="dxa"/>
          </w:tcPr>
          <w:p w14:paraId="63FD39CE" w14:textId="77777777" w:rsidR="00C82084" w:rsidRPr="00FB0B13" w:rsidRDefault="00C82084" w:rsidP="002D2A94">
            <w:pPr>
              <w:pStyle w:val="TableParagraph"/>
              <w:rPr>
                <w:rFonts w:asciiTheme="minorHAnsi" w:hAnsiTheme="minorHAnsi" w:cstheme="minorHAnsi"/>
                <w:sz w:val="24"/>
              </w:rPr>
            </w:pPr>
            <w:r w:rsidRPr="00FB0B13">
              <w:rPr>
                <w:rFonts w:asciiTheme="minorHAnsi" w:hAnsiTheme="minorHAnsi" w:cstheme="minorHAnsi"/>
                <w:spacing w:val="-2"/>
                <w:sz w:val="24"/>
              </w:rPr>
              <w:t>analyses, clinical guidelines)</w:t>
            </w:r>
          </w:p>
        </w:tc>
      </w:tr>
    </w:tbl>
    <w:p w14:paraId="7877FB61" w14:textId="77777777" w:rsidR="00C82084" w:rsidRDefault="00C82084" w:rsidP="00C82084">
      <w:pPr>
        <w:pStyle w:val="BodyText"/>
        <w:rPr>
          <w:b/>
          <w:sz w:val="20"/>
        </w:rPr>
      </w:pPr>
    </w:p>
    <w:p w14:paraId="2DF3B9DE" w14:textId="77777777" w:rsidR="00C82084" w:rsidRDefault="00C82084" w:rsidP="00C82084">
      <w:pPr>
        <w:pStyle w:val="BodyText"/>
        <w:spacing w:before="3"/>
        <w:rPr>
          <w:b/>
          <w:sz w:val="16"/>
        </w:rPr>
      </w:pPr>
    </w:p>
    <w:p w14:paraId="7A2E3669" w14:textId="77777777" w:rsidR="00C82084" w:rsidRDefault="00C82084" w:rsidP="00C82084">
      <w:pPr>
        <w:spacing w:before="52" w:line="256" w:lineRule="auto"/>
        <w:ind w:left="100" w:right="200"/>
        <w:rPr>
          <w:sz w:val="24"/>
        </w:rPr>
      </w:pPr>
      <w:r>
        <w:rPr>
          <w:sz w:val="24"/>
        </w:rPr>
        <w:t>(</w:t>
      </w:r>
      <w:r>
        <w:rPr>
          <w:i/>
          <w:sz w:val="24"/>
        </w:rPr>
        <w:t>Additional</w:t>
      </w:r>
      <w:r>
        <w:rPr>
          <w:i/>
          <w:spacing w:val="-2"/>
          <w:sz w:val="24"/>
        </w:rPr>
        <w:t xml:space="preserve"> </w:t>
      </w:r>
      <w:r>
        <w:rPr>
          <w:i/>
          <w:sz w:val="24"/>
        </w:rPr>
        <w:t>Consideration</w:t>
      </w:r>
      <w:r>
        <w:rPr>
          <w:i/>
          <w:spacing w:val="-4"/>
          <w:sz w:val="24"/>
        </w:rPr>
        <w:t xml:space="preserve"> </w:t>
      </w:r>
      <w:r>
        <w:rPr>
          <w:i/>
          <w:sz w:val="24"/>
        </w:rPr>
        <w:t>-</w:t>
      </w:r>
      <w:r>
        <w:rPr>
          <w:i/>
          <w:spacing w:val="-2"/>
          <w:sz w:val="24"/>
        </w:rPr>
        <w:t xml:space="preserve"> </w:t>
      </w:r>
      <w:r>
        <w:rPr>
          <w:i/>
          <w:sz w:val="24"/>
        </w:rPr>
        <w:t>Optional:</w:t>
      </w:r>
      <w:r>
        <w:rPr>
          <w:i/>
          <w:spacing w:val="-2"/>
          <w:sz w:val="24"/>
        </w:rPr>
        <w:t xml:space="preserve"> </w:t>
      </w:r>
      <w:r>
        <w:rPr>
          <w:b/>
          <w:sz w:val="24"/>
        </w:rPr>
        <w:t>Feedback</w:t>
      </w:r>
      <w:r>
        <w:rPr>
          <w:b/>
          <w:spacing w:val="-3"/>
          <w:sz w:val="24"/>
        </w:rPr>
        <w:t xml:space="preserve"> </w:t>
      </w:r>
      <w:r>
        <w:rPr>
          <w:b/>
          <w:sz w:val="24"/>
        </w:rPr>
        <w:t>Synthesis</w:t>
      </w:r>
      <w:r>
        <w:rPr>
          <w:sz w:val="24"/>
        </w:rPr>
        <w:t>:</w:t>
      </w:r>
      <w:r>
        <w:rPr>
          <w:spacing w:val="-4"/>
          <w:sz w:val="24"/>
        </w:rPr>
        <w:t xml:space="preserve"> </w:t>
      </w:r>
      <w:r>
        <w:rPr>
          <w:sz w:val="24"/>
        </w:rPr>
        <w:t>How</w:t>
      </w:r>
      <w:r>
        <w:rPr>
          <w:spacing w:val="-4"/>
          <w:sz w:val="24"/>
        </w:rPr>
        <w:t xml:space="preserve"> </w:t>
      </w:r>
      <w:r>
        <w:rPr>
          <w:sz w:val="24"/>
        </w:rPr>
        <w:t>to</w:t>
      </w:r>
      <w:r>
        <w:rPr>
          <w:spacing w:val="-4"/>
          <w:sz w:val="24"/>
        </w:rPr>
        <w:t xml:space="preserve"> </w:t>
      </w:r>
      <w:r>
        <w:rPr>
          <w:sz w:val="24"/>
        </w:rPr>
        <w:t>improve</w:t>
      </w:r>
      <w:r>
        <w:rPr>
          <w:spacing w:val="-2"/>
          <w:sz w:val="24"/>
        </w:rPr>
        <w:t xml:space="preserve"> </w:t>
      </w:r>
      <w:r>
        <w:rPr>
          <w:sz w:val="24"/>
        </w:rPr>
        <w:t>the</w:t>
      </w:r>
      <w:r>
        <w:rPr>
          <w:spacing w:val="-2"/>
          <w:sz w:val="24"/>
        </w:rPr>
        <w:t xml:space="preserve"> </w:t>
      </w:r>
      <w:r>
        <w:rPr>
          <w:sz w:val="24"/>
        </w:rPr>
        <w:t>SDL</w:t>
      </w:r>
      <w:r>
        <w:rPr>
          <w:spacing w:val="-5"/>
          <w:sz w:val="24"/>
        </w:rPr>
        <w:t xml:space="preserve"> </w:t>
      </w:r>
      <w:r>
        <w:rPr>
          <w:sz w:val="24"/>
        </w:rPr>
        <w:t>process</w:t>
      </w:r>
      <w:r>
        <w:rPr>
          <w:spacing w:val="-5"/>
          <w:sz w:val="24"/>
        </w:rPr>
        <w:t xml:space="preserve"> </w:t>
      </w:r>
      <w:r>
        <w:rPr>
          <w:sz w:val="24"/>
        </w:rPr>
        <w:t>for the next clinical question encountered?</w:t>
      </w:r>
    </w:p>
    <w:p w14:paraId="59EA6642" w14:textId="77777777" w:rsidR="00C82084" w:rsidRDefault="00C82084" w:rsidP="00C82084">
      <w:pPr>
        <w:pStyle w:val="BodyText"/>
        <w:spacing w:before="167" w:line="256" w:lineRule="auto"/>
        <w:ind w:left="100" w:right="200"/>
      </w:pPr>
      <w:r>
        <w:t>For</w:t>
      </w:r>
      <w:r>
        <w:rPr>
          <w:spacing w:val="-2"/>
        </w:rPr>
        <w:t xml:space="preserve"> </w:t>
      </w:r>
      <w:r>
        <w:t>my</w:t>
      </w:r>
      <w:r>
        <w:rPr>
          <w:spacing w:val="-6"/>
        </w:rPr>
        <w:t xml:space="preserve"> </w:t>
      </w:r>
      <w:r>
        <w:t>next</w:t>
      </w:r>
      <w:r>
        <w:rPr>
          <w:spacing w:val="-1"/>
        </w:rPr>
        <w:t xml:space="preserve"> </w:t>
      </w:r>
      <w:r>
        <w:t>self-directed</w:t>
      </w:r>
      <w:r>
        <w:rPr>
          <w:spacing w:val="-4"/>
        </w:rPr>
        <w:t xml:space="preserve"> </w:t>
      </w:r>
      <w:r>
        <w:t>learning,</w:t>
      </w:r>
      <w:r>
        <w:rPr>
          <w:spacing w:val="-2"/>
        </w:rPr>
        <w:t xml:space="preserve"> </w:t>
      </w:r>
      <w:r>
        <w:t>I</w:t>
      </w:r>
      <w:r>
        <w:rPr>
          <w:spacing w:val="-3"/>
        </w:rPr>
        <w:t xml:space="preserve"> </w:t>
      </w:r>
      <w:r>
        <w:t>would</w:t>
      </w:r>
      <w:r>
        <w:rPr>
          <w:spacing w:val="-4"/>
        </w:rPr>
        <w:t xml:space="preserve"> </w:t>
      </w:r>
      <w:r>
        <w:t>choose</w:t>
      </w:r>
      <w:r>
        <w:rPr>
          <w:spacing w:val="-4"/>
        </w:rPr>
        <w:t xml:space="preserve"> </w:t>
      </w:r>
      <w:r>
        <w:t>a</w:t>
      </w:r>
      <w:r>
        <w:rPr>
          <w:spacing w:val="-2"/>
        </w:rPr>
        <w:t xml:space="preserve"> </w:t>
      </w:r>
      <w:r>
        <w:t>more</w:t>
      </w:r>
      <w:r>
        <w:rPr>
          <w:spacing w:val="-2"/>
        </w:rPr>
        <w:t xml:space="preserve"> </w:t>
      </w:r>
      <w:r>
        <w:t>specific</w:t>
      </w:r>
      <w:r>
        <w:rPr>
          <w:spacing w:val="-3"/>
        </w:rPr>
        <w:t xml:space="preserve"> </w:t>
      </w:r>
      <w:r>
        <w:t>question</w:t>
      </w:r>
      <w:r>
        <w:rPr>
          <w:spacing w:val="-4"/>
        </w:rPr>
        <w:t xml:space="preserve"> </w:t>
      </w:r>
      <w:r>
        <w:t>and</w:t>
      </w:r>
      <w:r>
        <w:rPr>
          <w:spacing w:val="-4"/>
        </w:rPr>
        <w:t xml:space="preserve"> </w:t>
      </w:r>
      <w:r>
        <w:t>dive</w:t>
      </w:r>
      <w:r>
        <w:rPr>
          <w:spacing w:val="-4"/>
        </w:rPr>
        <w:t xml:space="preserve"> </w:t>
      </w:r>
      <w:r>
        <w:t xml:space="preserve">deeper into the data to learn about the odds ratio/hazard ratio associated with the treatment </w:t>
      </w:r>
      <w:r>
        <w:rPr>
          <w:spacing w:val="-2"/>
        </w:rPr>
        <w:t>intervention.</w:t>
      </w:r>
    </w:p>
    <w:p w14:paraId="0AB9BFDA" w14:textId="77777777" w:rsidR="008920A0" w:rsidRDefault="008920A0" w:rsidP="00B04F7F">
      <w:pPr>
        <w:spacing w:line="480" w:lineRule="auto"/>
        <w:rPr>
          <w:rFonts w:ascii="Times New Roman" w:hAnsi="Times New Roman" w:cs="Times New Roman"/>
          <w:b/>
          <w:bCs/>
        </w:rPr>
      </w:pPr>
    </w:p>
    <w:p w14:paraId="766B1210" w14:textId="77777777" w:rsidR="008920A0" w:rsidRDefault="008920A0">
      <w:pPr>
        <w:rPr>
          <w:rFonts w:ascii="Times New Roman" w:hAnsi="Times New Roman" w:cs="Times New Roman"/>
          <w:b/>
          <w:bCs/>
        </w:rPr>
      </w:pPr>
      <w:r>
        <w:rPr>
          <w:rFonts w:ascii="Times New Roman" w:hAnsi="Times New Roman" w:cs="Times New Roman"/>
          <w:b/>
          <w:bCs/>
        </w:rPr>
        <w:br w:type="page"/>
      </w:r>
    </w:p>
    <w:p w14:paraId="2487F5B3" w14:textId="77777777" w:rsidR="00B04F7F" w:rsidRPr="00DB67CA" w:rsidRDefault="00B04F7F" w:rsidP="00B04F7F">
      <w:pPr>
        <w:spacing w:line="480" w:lineRule="auto"/>
        <w:rPr>
          <w:rFonts w:ascii="Times New Roman" w:hAnsi="Times New Roman" w:cs="Times New Roman"/>
        </w:rPr>
      </w:pPr>
      <w:r w:rsidRPr="00DB67CA">
        <w:rPr>
          <w:rFonts w:ascii="Times New Roman" w:hAnsi="Times New Roman" w:cs="Times New Roman"/>
          <w:b/>
          <w:bCs/>
        </w:rPr>
        <w:lastRenderedPageBreak/>
        <w:t xml:space="preserve">Supplementary Figure </w:t>
      </w:r>
      <w:r>
        <w:rPr>
          <w:rFonts w:ascii="Times New Roman" w:hAnsi="Times New Roman" w:cs="Times New Roman"/>
          <w:b/>
          <w:bCs/>
        </w:rPr>
        <w:t>3</w:t>
      </w:r>
      <w:r w:rsidRPr="00DB67CA">
        <w:rPr>
          <w:rFonts w:ascii="Times New Roman" w:hAnsi="Times New Roman" w:cs="Times New Roman"/>
          <w:b/>
          <w:bCs/>
        </w:rPr>
        <w:t>:</w:t>
      </w:r>
    </w:p>
    <w:p w14:paraId="0EE9AC4C" w14:textId="710462E1" w:rsidR="00B04F7F" w:rsidRPr="00211FD2" w:rsidRDefault="00B04F7F" w:rsidP="00B04F7F">
      <w:pPr>
        <w:spacing w:line="480" w:lineRule="auto"/>
        <w:rPr>
          <w:rFonts w:ascii="Times New Roman" w:hAnsi="Times New Roman" w:cs="Times New Roman"/>
          <w:b/>
          <w:bCs/>
        </w:rPr>
      </w:pPr>
      <w:r w:rsidRPr="00211FD2">
        <w:rPr>
          <w:rFonts w:ascii="Times New Roman" w:eastAsia="Arial" w:hAnsi="Times New Roman" w:cs="Times New Roman"/>
          <w:b/>
          <w:bCs/>
        </w:rPr>
        <w:t>Survey</w:t>
      </w:r>
      <w:r w:rsidR="002A04C8">
        <w:rPr>
          <w:rFonts w:ascii="Times New Roman" w:eastAsia="Arial" w:hAnsi="Times New Roman" w:cs="Times New Roman"/>
          <w:b/>
          <w:bCs/>
        </w:rPr>
        <w:t xml:space="preserve"> Questionnaire</w:t>
      </w:r>
    </w:p>
    <w:p w14:paraId="35839209" w14:textId="77777777" w:rsidR="00B04F7F" w:rsidRPr="00DB67CA" w:rsidRDefault="00B04F7F" w:rsidP="00B04F7F">
      <w:pPr>
        <w:spacing w:line="480" w:lineRule="auto"/>
        <w:rPr>
          <w:rFonts w:ascii="Times New Roman" w:hAnsi="Times New Roman" w:cs="Times New Roman"/>
        </w:rPr>
      </w:pPr>
      <w:r w:rsidRPr="00DB67CA">
        <w:rPr>
          <w:rFonts w:ascii="Times New Roman" w:eastAsia="Arial" w:hAnsi="Times New Roman" w:cs="Times New Roman"/>
          <w:b/>
          <w:bCs/>
        </w:rPr>
        <w:t xml:space="preserve"> </w:t>
      </w:r>
      <w:r w:rsidRPr="00DB67CA">
        <w:rPr>
          <w:rFonts w:ascii="Times New Roman" w:eastAsia="Arial" w:hAnsi="Times New Roman" w:cs="Times New Roman"/>
        </w:rPr>
        <w:t>Strongly disagree-Disagree-Neither agree nor disagree-Agree-Strongly agree</w:t>
      </w:r>
    </w:p>
    <w:p w14:paraId="1386467A" w14:textId="77777777" w:rsidR="00B04F7F" w:rsidRPr="00DB67CA" w:rsidRDefault="00B04F7F" w:rsidP="00B04F7F">
      <w:pPr>
        <w:pStyle w:val="ListParagraph"/>
        <w:numPr>
          <w:ilvl w:val="0"/>
          <w:numId w:val="2"/>
        </w:numPr>
        <w:spacing w:line="480" w:lineRule="auto"/>
        <w:rPr>
          <w:rFonts w:ascii="Times New Roman" w:eastAsia="Arial" w:hAnsi="Times New Roman" w:cs="Times New Roman"/>
        </w:rPr>
      </w:pPr>
      <w:r w:rsidRPr="00DB67CA">
        <w:rPr>
          <w:rFonts w:ascii="Times New Roman" w:eastAsia="Arial" w:hAnsi="Times New Roman" w:cs="Times New Roman"/>
        </w:rPr>
        <w:t>The two SDLs introduced in thread 3 was helpful for me to identify critical knowledge gaps in the corresponding areas:</w:t>
      </w:r>
    </w:p>
    <w:p w14:paraId="214A7CAE" w14:textId="77777777" w:rsidR="00B04F7F" w:rsidRPr="00DB67CA" w:rsidRDefault="00B04F7F" w:rsidP="00B04F7F">
      <w:pPr>
        <w:pStyle w:val="ListParagraph"/>
        <w:numPr>
          <w:ilvl w:val="1"/>
          <w:numId w:val="1"/>
        </w:numPr>
        <w:spacing w:line="480" w:lineRule="auto"/>
        <w:rPr>
          <w:rFonts w:ascii="Times New Roman" w:eastAsia="Arial" w:hAnsi="Times New Roman" w:cs="Times New Roman"/>
        </w:rPr>
      </w:pPr>
      <w:r w:rsidRPr="00DB67CA">
        <w:rPr>
          <w:rFonts w:ascii="Times New Roman" w:eastAsia="Arial" w:hAnsi="Times New Roman" w:cs="Times New Roman"/>
        </w:rPr>
        <w:t>Anticoagulants</w:t>
      </w:r>
    </w:p>
    <w:p w14:paraId="419DE831" w14:textId="77777777" w:rsidR="00B04F7F" w:rsidRPr="00DB67CA" w:rsidRDefault="00B04F7F" w:rsidP="00B04F7F">
      <w:pPr>
        <w:pStyle w:val="ListParagraph"/>
        <w:numPr>
          <w:ilvl w:val="1"/>
          <w:numId w:val="1"/>
        </w:numPr>
        <w:spacing w:line="480" w:lineRule="auto"/>
        <w:rPr>
          <w:rFonts w:ascii="Times New Roman" w:eastAsia="Arial" w:hAnsi="Times New Roman" w:cs="Times New Roman"/>
        </w:rPr>
      </w:pPr>
      <w:r w:rsidRPr="00DB67CA">
        <w:rPr>
          <w:rFonts w:ascii="Times New Roman" w:eastAsia="Arial" w:hAnsi="Times New Roman" w:cs="Times New Roman"/>
        </w:rPr>
        <w:t>COVID-19</w:t>
      </w:r>
    </w:p>
    <w:p w14:paraId="61E1767E" w14:textId="77777777" w:rsidR="00B04F7F" w:rsidRPr="00DB67CA" w:rsidRDefault="00B04F7F" w:rsidP="00B04F7F">
      <w:pPr>
        <w:pStyle w:val="ListParagraph"/>
        <w:numPr>
          <w:ilvl w:val="0"/>
          <w:numId w:val="2"/>
        </w:numPr>
        <w:spacing w:line="480" w:lineRule="auto"/>
        <w:rPr>
          <w:rFonts w:ascii="Times New Roman" w:eastAsia="Arial" w:hAnsi="Times New Roman" w:cs="Times New Roman"/>
        </w:rPr>
      </w:pPr>
      <w:r w:rsidRPr="00DB67CA">
        <w:rPr>
          <w:rFonts w:ascii="Times New Roman" w:eastAsia="Arial" w:hAnsi="Times New Roman" w:cs="Times New Roman"/>
        </w:rPr>
        <w:t xml:space="preserve">The faculty feedback was helpful to identify my weaknesses as a learner: </w:t>
      </w:r>
    </w:p>
    <w:p w14:paraId="218B9FAF" w14:textId="77777777" w:rsidR="00B04F7F" w:rsidRPr="00DB67CA" w:rsidRDefault="00B04F7F" w:rsidP="00B04F7F">
      <w:pPr>
        <w:pStyle w:val="ListParagraph"/>
        <w:numPr>
          <w:ilvl w:val="0"/>
          <w:numId w:val="3"/>
        </w:numPr>
        <w:spacing w:line="480" w:lineRule="auto"/>
        <w:rPr>
          <w:rFonts w:ascii="Times New Roman" w:eastAsia="Arial" w:hAnsi="Times New Roman" w:cs="Times New Roman"/>
        </w:rPr>
      </w:pPr>
      <w:r w:rsidRPr="00DB67CA">
        <w:rPr>
          <w:rFonts w:ascii="Times New Roman" w:eastAsia="Arial" w:hAnsi="Times New Roman" w:cs="Times New Roman"/>
        </w:rPr>
        <w:t>Anticoagulants</w:t>
      </w:r>
    </w:p>
    <w:p w14:paraId="0479C33C" w14:textId="77777777" w:rsidR="00B04F7F" w:rsidRPr="00DB67CA" w:rsidRDefault="00B04F7F" w:rsidP="00B04F7F">
      <w:pPr>
        <w:pStyle w:val="ListParagraph"/>
        <w:numPr>
          <w:ilvl w:val="0"/>
          <w:numId w:val="3"/>
        </w:numPr>
        <w:spacing w:line="480" w:lineRule="auto"/>
        <w:rPr>
          <w:rFonts w:ascii="Times New Roman" w:eastAsia="Arial" w:hAnsi="Times New Roman" w:cs="Times New Roman"/>
        </w:rPr>
      </w:pPr>
      <w:r w:rsidRPr="00DB67CA">
        <w:rPr>
          <w:rFonts w:ascii="Times New Roman" w:eastAsia="Arial" w:hAnsi="Times New Roman" w:cs="Times New Roman"/>
        </w:rPr>
        <w:t>COVID-19</w:t>
      </w:r>
    </w:p>
    <w:p w14:paraId="4E439349" w14:textId="77777777" w:rsidR="00B04F7F" w:rsidRPr="00DB67CA" w:rsidRDefault="00B04F7F" w:rsidP="00B04F7F">
      <w:pPr>
        <w:pStyle w:val="ListParagraph"/>
        <w:numPr>
          <w:ilvl w:val="0"/>
          <w:numId w:val="2"/>
        </w:numPr>
        <w:spacing w:line="480" w:lineRule="auto"/>
        <w:rPr>
          <w:rFonts w:ascii="Times New Roman" w:eastAsia="Arial" w:hAnsi="Times New Roman" w:cs="Times New Roman"/>
        </w:rPr>
      </w:pPr>
      <w:r w:rsidRPr="00DB67CA">
        <w:rPr>
          <w:rFonts w:ascii="Times New Roman" w:eastAsia="Arial" w:hAnsi="Times New Roman" w:cs="Times New Roman"/>
        </w:rPr>
        <w:t xml:space="preserve">The faculty feedback provided clear directions on how to improve in my areas of weaknesses: </w:t>
      </w:r>
    </w:p>
    <w:p w14:paraId="11764418" w14:textId="77777777" w:rsidR="00B04F7F" w:rsidRPr="00DB67CA" w:rsidRDefault="00B04F7F" w:rsidP="00B04F7F">
      <w:pPr>
        <w:pStyle w:val="ListParagraph"/>
        <w:numPr>
          <w:ilvl w:val="0"/>
          <w:numId w:val="4"/>
        </w:numPr>
        <w:spacing w:line="480" w:lineRule="auto"/>
        <w:rPr>
          <w:rFonts w:ascii="Times New Roman" w:eastAsia="Arial" w:hAnsi="Times New Roman" w:cs="Times New Roman"/>
        </w:rPr>
      </w:pPr>
      <w:r w:rsidRPr="00DB67CA">
        <w:rPr>
          <w:rFonts w:ascii="Times New Roman" w:eastAsia="Arial" w:hAnsi="Times New Roman" w:cs="Times New Roman"/>
        </w:rPr>
        <w:t>Anticoagulants</w:t>
      </w:r>
    </w:p>
    <w:p w14:paraId="011F07C4" w14:textId="77777777" w:rsidR="00B04F7F" w:rsidRPr="00DB67CA" w:rsidRDefault="00B04F7F" w:rsidP="00B04F7F">
      <w:pPr>
        <w:pStyle w:val="ListParagraph"/>
        <w:numPr>
          <w:ilvl w:val="0"/>
          <w:numId w:val="4"/>
        </w:numPr>
        <w:spacing w:line="480" w:lineRule="auto"/>
        <w:rPr>
          <w:rFonts w:ascii="Times New Roman" w:eastAsia="Arial" w:hAnsi="Times New Roman" w:cs="Times New Roman"/>
        </w:rPr>
      </w:pPr>
      <w:r w:rsidRPr="00DB67CA">
        <w:rPr>
          <w:rFonts w:ascii="Times New Roman" w:eastAsia="Arial" w:hAnsi="Times New Roman" w:cs="Times New Roman"/>
        </w:rPr>
        <w:t>COVID-19</w:t>
      </w:r>
    </w:p>
    <w:p w14:paraId="1E79A2C7" w14:textId="77777777" w:rsidR="00B04F7F" w:rsidRPr="00DB67CA" w:rsidRDefault="00B04F7F" w:rsidP="00B04F7F">
      <w:pPr>
        <w:pStyle w:val="ListParagraph"/>
        <w:numPr>
          <w:ilvl w:val="0"/>
          <w:numId w:val="2"/>
        </w:numPr>
        <w:spacing w:line="480" w:lineRule="auto"/>
        <w:rPr>
          <w:rFonts w:ascii="Times New Roman" w:eastAsia="Arial" w:hAnsi="Times New Roman" w:cs="Times New Roman"/>
        </w:rPr>
      </w:pPr>
      <w:r w:rsidRPr="00DB67CA">
        <w:rPr>
          <w:rFonts w:ascii="Times New Roman" w:eastAsia="Arial" w:hAnsi="Times New Roman" w:cs="Times New Roman"/>
        </w:rPr>
        <w:t>The two SDLs introduced in thread 3 will support my development as a life-long learner:</w:t>
      </w:r>
    </w:p>
    <w:p w14:paraId="3B666517" w14:textId="77777777" w:rsidR="00B04F7F" w:rsidRPr="00DB67CA" w:rsidRDefault="00B04F7F" w:rsidP="00B04F7F">
      <w:pPr>
        <w:pStyle w:val="ListParagraph"/>
        <w:numPr>
          <w:ilvl w:val="0"/>
          <w:numId w:val="5"/>
        </w:numPr>
        <w:spacing w:line="480" w:lineRule="auto"/>
        <w:rPr>
          <w:rFonts w:ascii="Times New Roman" w:eastAsia="Arial" w:hAnsi="Times New Roman" w:cs="Times New Roman"/>
        </w:rPr>
      </w:pPr>
      <w:r w:rsidRPr="00DB67CA">
        <w:rPr>
          <w:rFonts w:ascii="Times New Roman" w:eastAsia="Arial" w:hAnsi="Times New Roman" w:cs="Times New Roman"/>
        </w:rPr>
        <w:t>Anticoagulants</w:t>
      </w:r>
    </w:p>
    <w:p w14:paraId="6240FC8E" w14:textId="77777777" w:rsidR="00B04F7F" w:rsidRPr="00DB67CA" w:rsidRDefault="00B04F7F" w:rsidP="00B04F7F">
      <w:pPr>
        <w:pStyle w:val="ListParagraph"/>
        <w:numPr>
          <w:ilvl w:val="0"/>
          <w:numId w:val="5"/>
        </w:numPr>
        <w:spacing w:line="480" w:lineRule="auto"/>
        <w:rPr>
          <w:rFonts w:ascii="Times New Roman" w:eastAsia="Arial" w:hAnsi="Times New Roman" w:cs="Times New Roman"/>
        </w:rPr>
      </w:pPr>
      <w:r w:rsidRPr="00DB67CA">
        <w:rPr>
          <w:rFonts w:ascii="Times New Roman" w:eastAsia="Arial" w:hAnsi="Times New Roman" w:cs="Times New Roman"/>
        </w:rPr>
        <w:t>COVID-19</w:t>
      </w:r>
    </w:p>
    <w:p w14:paraId="7225C9F8" w14:textId="77777777" w:rsidR="00B04F7F" w:rsidRPr="00DB67CA" w:rsidRDefault="00B04F7F" w:rsidP="00B04F7F">
      <w:pPr>
        <w:pStyle w:val="ListParagraph"/>
        <w:numPr>
          <w:ilvl w:val="0"/>
          <w:numId w:val="2"/>
        </w:numPr>
        <w:spacing w:line="480" w:lineRule="auto"/>
        <w:rPr>
          <w:rFonts w:ascii="Times New Roman" w:eastAsia="Arial" w:hAnsi="Times New Roman" w:cs="Times New Roman"/>
        </w:rPr>
      </w:pPr>
      <w:r w:rsidRPr="00DB67CA">
        <w:rPr>
          <w:rFonts w:ascii="Times New Roman" w:eastAsia="Arial" w:hAnsi="Times New Roman" w:cs="Times New Roman"/>
        </w:rPr>
        <w:t>The SDL assignments integrated key clinical concepts that was helpful to reinforce my learning of the material:</w:t>
      </w:r>
    </w:p>
    <w:p w14:paraId="2EC22EFF" w14:textId="77777777" w:rsidR="00B04F7F" w:rsidRPr="00DB67CA" w:rsidRDefault="00B04F7F" w:rsidP="00B04F7F">
      <w:pPr>
        <w:pStyle w:val="ListParagraph"/>
        <w:numPr>
          <w:ilvl w:val="0"/>
          <w:numId w:val="5"/>
        </w:numPr>
        <w:spacing w:line="480" w:lineRule="auto"/>
        <w:rPr>
          <w:rFonts w:ascii="Times New Roman" w:eastAsia="Arial" w:hAnsi="Times New Roman" w:cs="Times New Roman"/>
        </w:rPr>
      </w:pPr>
      <w:r w:rsidRPr="00DB67CA">
        <w:rPr>
          <w:rFonts w:ascii="Times New Roman" w:eastAsia="Arial" w:hAnsi="Times New Roman" w:cs="Times New Roman"/>
        </w:rPr>
        <w:t>Anticoagulants</w:t>
      </w:r>
    </w:p>
    <w:p w14:paraId="6A91C8DF" w14:textId="77777777" w:rsidR="00B04F7F" w:rsidRPr="00DB67CA" w:rsidRDefault="00B04F7F" w:rsidP="00B04F7F">
      <w:pPr>
        <w:pStyle w:val="ListParagraph"/>
        <w:numPr>
          <w:ilvl w:val="0"/>
          <w:numId w:val="5"/>
        </w:numPr>
        <w:spacing w:line="480" w:lineRule="auto"/>
        <w:rPr>
          <w:rFonts w:ascii="Times New Roman" w:eastAsia="Arial" w:hAnsi="Times New Roman" w:cs="Times New Roman"/>
        </w:rPr>
      </w:pPr>
      <w:r w:rsidRPr="00DB67CA">
        <w:rPr>
          <w:rFonts w:ascii="Times New Roman" w:eastAsia="Arial" w:hAnsi="Times New Roman" w:cs="Times New Roman"/>
        </w:rPr>
        <w:t>COVID-19</w:t>
      </w:r>
    </w:p>
    <w:p w14:paraId="75D403DA" w14:textId="77777777" w:rsidR="00B04F7F" w:rsidRPr="00DB67CA" w:rsidRDefault="00B04F7F" w:rsidP="00B04F7F">
      <w:pPr>
        <w:pStyle w:val="ListParagraph"/>
        <w:numPr>
          <w:ilvl w:val="0"/>
          <w:numId w:val="2"/>
        </w:numPr>
        <w:spacing w:line="480" w:lineRule="auto"/>
        <w:rPr>
          <w:rFonts w:ascii="Times New Roman" w:eastAsia="Arial" w:hAnsi="Times New Roman" w:cs="Times New Roman"/>
        </w:rPr>
      </w:pPr>
      <w:r w:rsidRPr="00DB67CA">
        <w:rPr>
          <w:rFonts w:ascii="Times New Roman" w:eastAsia="Arial" w:hAnsi="Times New Roman" w:cs="Times New Roman"/>
        </w:rPr>
        <w:t>Please share in a few words how each of the SDL experiences shaped your perception of your self-directed learning skills.</w:t>
      </w:r>
    </w:p>
    <w:p w14:paraId="61A4B12A" w14:textId="77777777" w:rsidR="00B04F7F" w:rsidRPr="00DB67CA" w:rsidRDefault="00B04F7F" w:rsidP="00B04F7F">
      <w:pPr>
        <w:pStyle w:val="ListParagraph"/>
        <w:numPr>
          <w:ilvl w:val="0"/>
          <w:numId w:val="6"/>
        </w:numPr>
        <w:spacing w:line="480" w:lineRule="auto"/>
        <w:rPr>
          <w:rFonts w:ascii="Times New Roman" w:eastAsia="Arial" w:hAnsi="Times New Roman" w:cs="Times New Roman"/>
        </w:rPr>
      </w:pPr>
      <w:r w:rsidRPr="00DB67CA">
        <w:rPr>
          <w:rFonts w:ascii="Times New Roman" w:eastAsia="Arial" w:hAnsi="Times New Roman" w:cs="Times New Roman"/>
        </w:rPr>
        <w:t>Anticoagulants</w:t>
      </w:r>
    </w:p>
    <w:p w14:paraId="5D71E4B7" w14:textId="76610A8A" w:rsidR="00446E83" w:rsidRDefault="00B04F7F" w:rsidP="00211FD2">
      <w:pPr>
        <w:pStyle w:val="ListParagraph"/>
        <w:numPr>
          <w:ilvl w:val="0"/>
          <w:numId w:val="6"/>
        </w:numPr>
        <w:spacing w:line="480" w:lineRule="auto"/>
      </w:pPr>
      <w:r w:rsidRPr="00211FD2">
        <w:rPr>
          <w:rFonts w:ascii="Times New Roman" w:eastAsia="Arial" w:hAnsi="Times New Roman" w:cs="Times New Roman"/>
        </w:rPr>
        <w:t>COVID-19</w:t>
      </w:r>
    </w:p>
    <w:sectPr w:rsidR="00446E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F060D"/>
    <w:multiLevelType w:val="hybridMultilevel"/>
    <w:tmpl w:val="4390764C"/>
    <w:lvl w:ilvl="0" w:tplc="FFFFFFFF">
      <w:start w:val="1"/>
      <w:numFmt w:val="lowerLetter"/>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432A6D08"/>
    <w:multiLevelType w:val="hybridMultilevel"/>
    <w:tmpl w:val="4390764C"/>
    <w:lvl w:ilvl="0" w:tplc="B8CAA054">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DB0F946"/>
    <w:multiLevelType w:val="hybridMultilevel"/>
    <w:tmpl w:val="0D9EB77C"/>
    <w:lvl w:ilvl="0" w:tplc="AB6CDA64">
      <w:start w:val="1"/>
      <w:numFmt w:val="decimal"/>
      <w:lvlText w:val="%1."/>
      <w:lvlJc w:val="left"/>
      <w:pPr>
        <w:ind w:left="720" w:hanging="360"/>
      </w:pPr>
    </w:lvl>
    <w:lvl w:ilvl="1" w:tplc="B8CAA054">
      <w:start w:val="1"/>
      <w:numFmt w:val="lowerLetter"/>
      <w:lvlText w:val="%2."/>
      <w:lvlJc w:val="left"/>
      <w:pPr>
        <w:ind w:left="1440" w:hanging="360"/>
      </w:pPr>
    </w:lvl>
    <w:lvl w:ilvl="2" w:tplc="2CD44602">
      <w:start w:val="1"/>
      <w:numFmt w:val="lowerRoman"/>
      <w:lvlText w:val="%3."/>
      <w:lvlJc w:val="right"/>
      <w:pPr>
        <w:ind w:left="2160" w:hanging="180"/>
      </w:pPr>
    </w:lvl>
    <w:lvl w:ilvl="3" w:tplc="514E9404">
      <w:start w:val="1"/>
      <w:numFmt w:val="decimal"/>
      <w:lvlText w:val="%4."/>
      <w:lvlJc w:val="left"/>
      <w:pPr>
        <w:ind w:left="2880" w:hanging="360"/>
      </w:pPr>
    </w:lvl>
    <w:lvl w:ilvl="4" w:tplc="DDE2B29E">
      <w:start w:val="1"/>
      <w:numFmt w:val="lowerLetter"/>
      <w:lvlText w:val="%5."/>
      <w:lvlJc w:val="left"/>
      <w:pPr>
        <w:ind w:left="3600" w:hanging="360"/>
      </w:pPr>
    </w:lvl>
    <w:lvl w:ilvl="5" w:tplc="FC7E2EB0">
      <w:start w:val="1"/>
      <w:numFmt w:val="lowerRoman"/>
      <w:lvlText w:val="%6."/>
      <w:lvlJc w:val="right"/>
      <w:pPr>
        <w:ind w:left="4320" w:hanging="180"/>
      </w:pPr>
    </w:lvl>
    <w:lvl w:ilvl="6" w:tplc="87788304">
      <w:start w:val="1"/>
      <w:numFmt w:val="decimal"/>
      <w:lvlText w:val="%7."/>
      <w:lvlJc w:val="left"/>
      <w:pPr>
        <w:ind w:left="5040" w:hanging="360"/>
      </w:pPr>
    </w:lvl>
    <w:lvl w:ilvl="7" w:tplc="D0C47EA6">
      <w:start w:val="1"/>
      <w:numFmt w:val="lowerLetter"/>
      <w:lvlText w:val="%8."/>
      <w:lvlJc w:val="left"/>
      <w:pPr>
        <w:ind w:left="5760" w:hanging="360"/>
      </w:pPr>
    </w:lvl>
    <w:lvl w:ilvl="8" w:tplc="4B62721A">
      <w:start w:val="1"/>
      <w:numFmt w:val="lowerRoman"/>
      <w:lvlText w:val="%9."/>
      <w:lvlJc w:val="right"/>
      <w:pPr>
        <w:ind w:left="6480" w:hanging="180"/>
      </w:pPr>
    </w:lvl>
  </w:abstractNum>
  <w:abstractNum w:abstractNumId="3" w15:restartNumberingAfterBreak="0">
    <w:nsid w:val="53AC3FAE"/>
    <w:multiLevelType w:val="hybridMultilevel"/>
    <w:tmpl w:val="4390764C"/>
    <w:lvl w:ilvl="0" w:tplc="FFFFFFFF">
      <w:start w:val="1"/>
      <w:numFmt w:val="lowerLetter"/>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5B7608E1"/>
    <w:multiLevelType w:val="hybridMultilevel"/>
    <w:tmpl w:val="4390764C"/>
    <w:lvl w:ilvl="0" w:tplc="FFFFFFFF">
      <w:start w:val="1"/>
      <w:numFmt w:val="lowerLetter"/>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7111843D"/>
    <w:multiLevelType w:val="hybridMultilevel"/>
    <w:tmpl w:val="64300236"/>
    <w:lvl w:ilvl="0" w:tplc="166C8DCA">
      <w:start w:val="1"/>
      <w:numFmt w:val="decimal"/>
      <w:lvlText w:val="%1."/>
      <w:lvlJc w:val="left"/>
      <w:pPr>
        <w:ind w:left="720" w:hanging="360"/>
      </w:pPr>
    </w:lvl>
    <w:lvl w:ilvl="1" w:tplc="07B2759E">
      <w:start w:val="1"/>
      <w:numFmt w:val="lowerLetter"/>
      <w:lvlText w:val="%2."/>
      <w:lvlJc w:val="left"/>
      <w:pPr>
        <w:ind w:left="1440" w:hanging="360"/>
      </w:pPr>
    </w:lvl>
    <w:lvl w:ilvl="2" w:tplc="981AC2E8">
      <w:start w:val="1"/>
      <w:numFmt w:val="lowerRoman"/>
      <w:lvlText w:val="%3."/>
      <w:lvlJc w:val="right"/>
      <w:pPr>
        <w:ind w:left="2160" w:hanging="180"/>
      </w:pPr>
    </w:lvl>
    <w:lvl w:ilvl="3" w:tplc="F39EB3B0">
      <w:start w:val="1"/>
      <w:numFmt w:val="decimal"/>
      <w:lvlText w:val="%4."/>
      <w:lvlJc w:val="left"/>
      <w:pPr>
        <w:ind w:left="2880" w:hanging="360"/>
      </w:pPr>
    </w:lvl>
    <w:lvl w:ilvl="4" w:tplc="0D9454CC">
      <w:start w:val="1"/>
      <w:numFmt w:val="lowerLetter"/>
      <w:lvlText w:val="%5."/>
      <w:lvlJc w:val="left"/>
      <w:pPr>
        <w:ind w:left="3600" w:hanging="360"/>
      </w:pPr>
    </w:lvl>
    <w:lvl w:ilvl="5" w:tplc="6A4A2808">
      <w:start w:val="1"/>
      <w:numFmt w:val="lowerRoman"/>
      <w:lvlText w:val="%6."/>
      <w:lvlJc w:val="right"/>
      <w:pPr>
        <w:ind w:left="4320" w:hanging="180"/>
      </w:pPr>
    </w:lvl>
    <w:lvl w:ilvl="6" w:tplc="06509042">
      <w:start w:val="1"/>
      <w:numFmt w:val="decimal"/>
      <w:lvlText w:val="%7."/>
      <w:lvlJc w:val="left"/>
      <w:pPr>
        <w:ind w:left="5040" w:hanging="360"/>
      </w:pPr>
    </w:lvl>
    <w:lvl w:ilvl="7" w:tplc="CB0E6E94">
      <w:start w:val="1"/>
      <w:numFmt w:val="lowerLetter"/>
      <w:lvlText w:val="%8."/>
      <w:lvlJc w:val="left"/>
      <w:pPr>
        <w:ind w:left="5760" w:hanging="360"/>
      </w:pPr>
    </w:lvl>
    <w:lvl w:ilvl="8" w:tplc="A6EC3254">
      <w:start w:val="1"/>
      <w:numFmt w:val="lowerRoman"/>
      <w:lvlText w:val="%9."/>
      <w:lvlJc w:val="right"/>
      <w:pPr>
        <w:ind w:left="6480" w:hanging="180"/>
      </w:pPr>
    </w:lvl>
  </w:abstractNum>
  <w:num w:numId="1" w16cid:durableId="228730109">
    <w:abstractNumId w:val="2"/>
  </w:num>
  <w:num w:numId="2" w16cid:durableId="945191427">
    <w:abstractNumId w:val="5"/>
  </w:num>
  <w:num w:numId="3" w16cid:durableId="550701002">
    <w:abstractNumId w:val="1"/>
  </w:num>
  <w:num w:numId="4" w16cid:durableId="2065324613">
    <w:abstractNumId w:val="3"/>
  </w:num>
  <w:num w:numId="5" w16cid:durableId="1150514016">
    <w:abstractNumId w:val="0"/>
  </w:num>
  <w:num w:numId="6" w16cid:durableId="1457086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F7F"/>
    <w:rsid w:val="00211FD2"/>
    <w:rsid w:val="002A04C8"/>
    <w:rsid w:val="00314B2F"/>
    <w:rsid w:val="00360868"/>
    <w:rsid w:val="003A44EB"/>
    <w:rsid w:val="00446E83"/>
    <w:rsid w:val="005026A2"/>
    <w:rsid w:val="007117B9"/>
    <w:rsid w:val="008920A0"/>
    <w:rsid w:val="008B7B42"/>
    <w:rsid w:val="009D3B2B"/>
    <w:rsid w:val="00A0466F"/>
    <w:rsid w:val="00B04F7F"/>
    <w:rsid w:val="00BE109D"/>
    <w:rsid w:val="00C27F97"/>
    <w:rsid w:val="00C82084"/>
    <w:rsid w:val="00E35BED"/>
    <w:rsid w:val="00E61F58"/>
    <w:rsid w:val="00F956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A42DC"/>
  <w15:chartTrackingRefBased/>
  <w15:docId w15:val="{97EFFCF0-AE8D-4182-A229-ED9545AFB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4F7F"/>
  </w:style>
  <w:style w:type="paragraph" w:styleId="Heading1">
    <w:name w:val="heading 1"/>
    <w:basedOn w:val="Normal"/>
    <w:link w:val="Heading1Char"/>
    <w:uiPriority w:val="9"/>
    <w:qFormat/>
    <w:rsid w:val="00B04F7F"/>
    <w:pPr>
      <w:widowControl w:val="0"/>
      <w:autoSpaceDE w:val="0"/>
      <w:autoSpaceDN w:val="0"/>
      <w:spacing w:before="154" w:after="0" w:line="240" w:lineRule="auto"/>
      <w:ind w:left="100"/>
      <w:outlineLvl w:val="0"/>
    </w:pPr>
    <w:rPr>
      <w:rFonts w:ascii="Calibri" w:eastAsia="Calibri" w:hAnsi="Calibri" w:cs="Calibri"/>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4F7F"/>
    <w:rPr>
      <w:rFonts w:ascii="Calibri" w:eastAsia="Calibri" w:hAnsi="Calibri" w:cs="Calibri"/>
      <w:b/>
      <w:bCs/>
      <w:sz w:val="24"/>
      <w:szCs w:val="24"/>
      <w:u w:val="single" w:color="000000"/>
    </w:rPr>
  </w:style>
  <w:style w:type="paragraph" w:styleId="ListParagraph">
    <w:name w:val="List Paragraph"/>
    <w:basedOn w:val="Normal"/>
    <w:uiPriority w:val="34"/>
    <w:qFormat/>
    <w:rsid w:val="00B04F7F"/>
    <w:pPr>
      <w:ind w:left="720"/>
      <w:contextualSpacing/>
    </w:pPr>
  </w:style>
  <w:style w:type="paragraph" w:styleId="BodyText">
    <w:name w:val="Body Text"/>
    <w:basedOn w:val="Normal"/>
    <w:link w:val="BodyTextChar"/>
    <w:uiPriority w:val="1"/>
    <w:qFormat/>
    <w:rsid w:val="00B04F7F"/>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B04F7F"/>
    <w:rPr>
      <w:rFonts w:ascii="Calibri" w:eastAsia="Calibri" w:hAnsi="Calibri" w:cs="Calibri"/>
      <w:sz w:val="24"/>
      <w:szCs w:val="24"/>
    </w:rPr>
  </w:style>
  <w:style w:type="paragraph" w:customStyle="1" w:styleId="TableParagraph">
    <w:name w:val="Table Paragraph"/>
    <w:basedOn w:val="Normal"/>
    <w:uiPriority w:val="1"/>
    <w:qFormat/>
    <w:rsid w:val="00B04F7F"/>
    <w:pPr>
      <w:widowControl w:val="0"/>
      <w:autoSpaceDE w:val="0"/>
      <w:autoSpaceDN w:val="0"/>
      <w:spacing w:after="0" w:line="240" w:lineRule="auto"/>
      <w:ind w:left="107"/>
    </w:pPr>
    <w:rPr>
      <w:rFonts w:ascii="Calibri" w:eastAsia="Calibri" w:hAnsi="Calibri" w:cs="Calibri"/>
    </w:rPr>
  </w:style>
  <w:style w:type="paragraph" w:styleId="Title">
    <w:name w:val="Title"/>
    <w:basedOn w:val="Normal"/>
    <w:link w:val="TitleChar"/>
    <w:uiPriority w:val="10"/>
    <w:qFormat/>
    <w:rsid w:val="00C82084"/>
    <w:pPr>
      <w:widowControl w:val="0"/>
      <w:autoSpaceDE w:val="0"/>
      <w:autoSpaceDN w:val="0"/>
      <w:spacing w:before="19" w:after="0" w:line="240" w:lineRule="auto"/>
      <w:ind w:left="100"/>
    </w:pPr>
    <w:rPr>
      <w:rFonts w:ascii="Calibri" w:eastAsia="Calibri" w:hAnsi="Calibri" w:cs="Calibri"/>
      <w:b/>
      <w:bCs/>
      <w:sz w:val="28"/>
      <w:szCs w:val="28"/>
    </w:rPr>
  </w:style>
  <w:style w:type="character" w:customStyle="1" w:styleId="TitleChar">
    <w:name w:val="Title Char"/>
    <w:basedOn w:val="DefaultParagraphFont"/>
    <w:link w:val="Title"/>
    <w:uiPriority w:val="10"/>
    <w:rsid w:val="00C82084"/>
    <w:rPr>
      <w:rFonts w:ascii="Calibri" w:eastAsia="Calibri" w:hAnsi="Calibri" w:cs="Calibri"/>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6</Pages>
  <Words>1029</Words>
  <Characters>6199</Characters>
  <Application>Microsoft Office Word</Application>
  <DocSecurity>0</DocSecurity>
  <Lines>238</Lines>
  <Paragraphs>91</Paragraphs>
  <ScaleCrop>false</ScaleCrop>
  <Company/>
  <LinksUpToDate>false</LinksUpToDate>
  <CharactersWithSpaces>7137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Menon, Bindu</dc:creator>
  <cp:keywords/>
  <dc:description/>
  <cp:lastModifiedBy>Menon, Bindu</cp:lastModifiedBy>
  <cp:revision>18</cp:revision>
  <dcterms:created xsi:type="dcterms:W3CDTF">2023-06-25T22:13:00Z</dcterms:created>
  <dcterms:modified xsi:type="dcterms:W3CDTF">2023-06-29T13:51:00Z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6d4ddb93-cf16-4ad2-b8bf-e87976aeb627</vt:lpwstr>
  </property>
</Properties>
</file>