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688" w:rsidRPr="00A96E7E" w:rsidRDefault="006C4688" w:rsidP="00A96E7E">
      <w:pPr>
        <w:pStyle w:val="Title2"/>
        <w:spacing w:line="360" w:lineRule="auto"/>
        <w:jc w:val="center"/>
        <w:rPr>
          <w:sz w:val="28"/>
          <w:szCs w:val="28"/>
        </w:rPr>
      </w:pPr>
      <w:r w:rsidRPr="00A96E7E">
        <w:rPr>
          <w:sz w:val="28"/>
          <w:szCs w:val="28"/>
        </w:rPr>
        <w:t>Supporting Information</w:t>
      </w:r>
    </w:p>
    <w:p w:rsidR="006C4688" w:rsidRDefault="006C4688" w:rsidP="006C4688">
      <w:pPr>
        <w:pStyle w:val="Tableofcontents"/>
        <w:spacing w:line="360" w:lineRule="auto"/>
        <w:rPr>
          <w:sz w:val="20"/>
          <w:szCs w:val="20"/>
        </w:rPr>
      </w:pPr>
      <w:r>
        <w:rPr>
          <w:sz w:val="20"/>
          <w:szCs w:val="20"/>
        </w:rPr>
        <w:t xml:space="preserve"> </w:t>
      </w:r>
    </w:p>
    <w:p w:rsidR="006C4688" w:rsidRPr="00A96E7E" w:rsidRDefault="006C4688" w:rsidP="00A96E7E">
      <w:pPr>
        <w:pStyle w:val="Tableofcontents"/>
        <w:spacing w:line="360" w:lineRule="auto"/>
        <w:rPr>
          <w:b/>
          <w:color w:val="FF0000"/>
        </w:rPr>
      </w:pPr>
      <w:r w:rsidRPr="00A96E7E">
        <w:rPr>
          <w:b/>
          <w:sz w:val="20"/>
          <w:szCs w:val="20"/>
        </w:rPr>
        <w:t xml:space="preserve"> </w:t>
      </w:r>
      <w:r w:rsidRPr="00A96E7E">
        <w:rPr>
          <w:b/>
          <w:bCs/>
        </w:rPr>
        <w:t xml:space="preserve">Discovery of Ferroelectricity in Natural Product </w:t>
      </w:r>
      <w:proofErr w:type="spellStart"/>
      <w:r w:rsidRPr="00A96E7E">
        <w:rPr>
          <w:b/>
          <w:bCs/>
        </w:rPr>
        <w:t>Androstane</w:t>
      </w:r>
      <w:proofErr w:type="spellEnd"/>
    </w:p>
    <w:p w:rsidR="006C4688" w:rsidRDefault="006C4688" w:rsidP="006C4688">
      <w:pPr>
        <w:pStyle w:val="Title2"/>
        <w:spacing w:line="360" w:lineRule="auto"/>
        <w:rPr>
          <w:b w:val="0"/>
          <w:sz w:val="20"/>
          <w:szCs w:val="20"/>
        </w:rPr>
      </w:pPr>
      <w:r>
        <w:rPr>
          <w:b w:val="0"/>
          <w:sz w:val="20"/>
          <w:szCs w:val="20"/>
        </w:rPr>
        <w:t xml:space="preserve"> </w:t>
      </w:r>
      <w:bookmarkStart w:id="0" w:name="_GoBack"/>
      <w:bookmarkEnd w:id="0"/>
    </w:p>
    <w:p w:rsidR="006C4688" w:rsidRDefault="006C4688" w:rsidP="006C4688">
      <w:pPr>
        <w:pStyle w:val="a5"/>
        <w:spacing w:line="360" w:lineRule="auto"/>
        <w:rPr>
          <w:rFonts w:eastAsia="宋体"/>
          <w:sz w:val="20"/>
          <w:szCs w:val="20"/>
        </w:rPr>
      </w:pPr>
      <w:r>
        <w:rPr>
          <w:sz w:val="20"/>
          <w:szCs w:val="20"/>
          <w:lang w:bidi="ar"/>
        </w:rPr>
        <w:t xml:space="preserve">Ren-Gen </w:t>
      </w:r>
      <w:proofErr w:type="spellStart"/>
      <w:r>
        <w:rPr>
          <w:sz w:val="20"/>
          <w:szCs w:val="20"/>
          <w:lang w:bidi="ar"/>
        </w:rPr>
        <w:t>Xiong</w:t>
      </w:r>
      <w:proofErr w:type="spellEnd"/>
      <w:r>
        <w:rPr>
          <w:sz w:val="20"/>
          <w:szCs w:val="20"/>
          <w:lang w:bidi="ar"/>
        </w:rPr>
        <w:t xml:space="preserve">*, Han-Yue Zhang*, </w:t>
      </w:r>
      <w:proofErr w:type="spellStart"/>
      <w:r>
        <w:rPr>
          <w:sz w:val="20"/>
          <w:szCs w:val="20"/>
          <w:lang w:bidi="ar"/>
        </w:rPr>
        <w:t>Huan-Huan</w:t>
      </w:r>
      <w:proofErr w:type="spellEnd"/>
      <w:r>
        <w:rPr>
          <w:sz w:val="20"/>
          <w:szCs w:val="20"/>
          <w:lang w:bidi="ar"/>
        </w:rPr>
        <w:t xml:space="preserve"> Jiang</w:t>
      </w:r>
    </w:p>
    <w:p w:rsidR="006C4688" w:rsidRDefault="006C4688" w:rsidP="006C4688">
      <w:pPr>
        <w:pStyle w:val="a5"/>
        <w:spacing w:line="360" w:lineRule="auto"/>
        <w:rPr>
          <w:rFonts w:eastAsia="宋体"/>
          <w:sz w:val="20"/>
          <w:szCs w:val="20"/>
        </w:rPr>
      </w:pPr>
      <w:r>
        <w:rPr>
          <w:sz w:val="20"/>
          <w:szCs w:val="20"/>
          <w:lang w:bidi="ar"/>
        </w:rPr>
        <w:t xml:space="preserve">Jiangsu Key Laboratory for Biomaterials and Devices, School of Biological Science and Medical Engineering, Southeast University, Nanjing, Jiangsu, 210009 P. R. China </w:t>
      </w:r>
    </w:p>
    <w:p w:rsidR="006C4688" w:rsidRDefault="006C4688" w:rsidP="006C4688">
      <w:pPr>
        <w:pStyle w:val="a5"/>
        <w:spacing w:line="360" w:lineRule="auto"/>
        <w:rPr>
          <w:rFonts w:eastAsia="宋体"/>
          <w:sz w:val="20"/>
          <w:szCs w:val="20"/>
        </w:rPr>
      </w:pPr>
      <w:r>
        <w:rPr>
          <w:rFonts w:eastAsia="宋体"/>
          <w:sz w:val="20"/>
          <w:szCs w:val="20"/>
          <w:lang w:bidi="ar"/>
        </w:rPr>
        <w:t>*Correspondence</w:t>
      </w:r>
    </w:p>
    <w:p w:rsidR="006C4688" w:rsidRDefault="006C4688" w:rsidP="006C4688">
      <w:pPr>
        <w:rPr>
          <w:rFonts w:eastAsia="宋体"/>
          <w:sz w:val="20"/>
          <w:szCs w:val="20"/>
        </w:rPr>
      </w:pPr>
      <w:r>
        <w:rPr>
          <w:sz w:val="20"/>
          <w:szCs w:val="20"/>
          <w:lang w:bidi="ar"/>
        </w:rPr>
        <w:t xml:space="preserve">E-mail: </w:t>
      </w:r>
      <w:hyperlink r:id="rId6" w:history="1">
        <w:r>
          <w:rPr>
            <w:rStyle w:val="a6"/>
            <w:sz w:val="20"/>
            <w:szCs w:val="20"/>
          </w:rPr>
          <w:t>xiongrg@seu.edu.cn</w:t>
        </w:r>
      </w:hyperlink>
      <w:r>
        <w:rPr>
          <w:rFonts w:eastAsia="宋体"/>
          <w:sz w:val="20"/>
          <w:szCs w:val="20"/>
          <w:lang w:bidi="ar"/>
        </w:rPr>
        <w:t>(</w:t>
      </w:r>
      <w:r>
        <w:rPr>
          <w:sz w:val="20"/>
          <w:szCs w:val="20"/>
          <w:lang w:bidi="ar"/>
        </w:rPr>
        <w:t xml:space="preserve">R.-G. </w:t>
      </w:r>
      <w:proofErr w:type="spellStart"/>
      <w:r>
        <w:rPr>
          <w:sz w:val="20"/>
          <w:szCs w:val="20"/>
          <w:lang w:bidi="ar"/>
        </w:rPr>
        <w:t>Xiong</w:t>
      </w:r>
      <w:proofErr w:type="spellEnd"/>
      <w:r>
        <w:rPr>
          <w:rFonts w:eastAsia="宋体"/>
          <w:sz w:val="20"/>
          <w:szCs w:val="20"/>
          <w:lang w:bidi="ar"/>
        </w:rPr>
        <w:t>)</w:t>
      </w:r>
    </w:p>
    <w:p w:rsidR="006C4688" w:rsidRDefault="006C4688" w:rsidP="006C4688">
      <w:pPr>
        <w:ind w:firstLineChars="300" w:firstLine="720"/>
        <w:rPr>
          <w:rFonts w:eastAsia="宋体"/>
          <w:sz w:val="20"/>
          <w:szCs w:val="20"/>
        </w:rPr>
      </w:pPr>
      <w:hyperlink r:id="rId7" w:history="1">
        <w:r>
          <w:rPr>
            <w:rStyle w:val="a6"/>
            <w:rFonts w:eastAsia="宋体"/>
            <w:sz w:val="20"/>
            <w:szCs w:val="20"/>
          </w:rPr>
          <w:t>zhanghanyue@seu.edu.cn</w:t>
        </w:r>
      </w:hyperlink>
      <w:r>
        <w:rPr>
          <w:rFonts w:eastAsia="宋体"/>
          <w:sz w:val="20"/>
          <w:szCs w:val="20"/>
          <w:lang w:bidi="ar"/>
        </w:rPr>
        <w:t>(H.-Y. Zhang)</w:t>
      </w:r>
    </w:p>
    <w:p w:rsidR="006C4688" w:rsidRPr="006C4688" w:rsidRDefault="006C4688" w:rsidP="006C4688">
      <w:pPr>
        <w:pStyle w:val="Tableofcontents"/>
        <w:spacing w:line="360" w:lineRule="auto"/>
        <w:rPr>
          <w:sz w:val="20"/>
          <w:szCs w:val="20"/>
        </w:rPr>
      </w:pPr>
    </w:p>
    <w:p w:rsidR="006C4688" w:rsidRDefault="006C4688" w:rsidP="006C4688">
      <w:pPr>
        <w:pStyle w:val="Maintext"/>
        <w:spacing w:line="360" w:lineRule="auto"/>
        <w:rPr>
          <w:sz w:val="20"/>
          <w:szCs w:val="20"/>
        </w:rPr>
      </w:pPr>
      <w:r>
        <w:rPr>
          <w:sz w:val="20"/>
          <w:szCs w:val="20"/>
        </w:rPr>
        <w:t xml:space="preserve"> </w:t>
      </w:r>
    </w:p>
    <w:p w:rsidR="006C4688" w:rsidRDefault="006C4688" w:rsidP="006C4688">
      <w:pPr>
        <w:pStyle w:val="Maintext"/>
        <w:spacing w:line="360" w:lineRule="auto"/>
        <w:jc w:val="both"/>
        <w:rPr>
          <w:b/>
          <w:sz w:val="20"/>
          <w:szCs w:val="20"/>
        </w:rPr>
      </w:pPr>
      <w:r>
        <w:rPr>
          <w:b/>
          <w:sz w:val="20"/>
          <w:szCs w:val="20"/>
        </w:rPr>
        <w:t>Experimental and Measurement Methods</w:t>
      </w:r>
    </w:p>
    <w:p w:rsidR="006C4688" w:rsidRDefault="006C4688" w:rsidP="006C4688">
      <w:pPr>
        <w:pStyle w:val="Maintext"/>
        <w:spacing w:line="360" w:lineRule="auto"/>
        <w:jc w:val="both"/>
        <w:rPr>
          <w:b/>
          <w:bCs/>
          <w:sz w:val="20"/>
          <w:szCs w:val="20"/>
        </w:rPr>
      </w:pPr>
      <w:proofErr w:type="gramStart"/>
      <w:r>
        <w:rPr>
          <w:b/>
          <w:bCs/>
          <w:sz w:val="20"/>
          <w:szCs w:val="20"/>
        </w:rPr>
        <w:t>Materials.</w:t>
      </w:r>
      <w:proofErr w:type="gramEnd"/>
      <w:r>
        <w:rPr>
          <w:b/>
          <w:bCs/>
          <w:sz w:val="20"/>
          <w:szCs w:val="20"/>
        </w:rPr>
        <w:t xml:space="preserve"> </w:t>
      </w:r>
      <w:r>
        <w:rPr>
          <w:sz w:val="20"/>
          <w:szCs w:val="20"/>
        </w:rPr>
        <w:t xml:space="preserve">All reagents and solvents in the syntheses were of reagent grade and used without further purification. The progesterone and 17β-TCA are commercially available. The colorless needle-like crystals of progesterone and 17β-TCA were obtained by slowly evaporating their clear ethanol solutions respectively. </w:t>
      </w:r>
    </w:p>
    <w:p w:rsidR="006C4688" w:rsidRDefault="006C4688" w:rsidP="006C4688">
      <w:pPr>
        <w:pStyle w:val="Maintext"/>
        <w:spacing w:line="360" w:lineRule="auto"/>
        <w:jc w:val="both"/>
        <w:rPr>
          <w:sz w:val="20"/>
          <w:szCs w:val="20"/>
        </w:rPr>
      </w:pPr>
      <w:proofErr w:type="gramStart"/>
      <w:r>
        <w:rPr>
          <w:b/>
          <w:bCs/>
          <w:sz w:val="20"/>
          <w:szCs w:val="20"/>
        </w:rPr>
        <w:t>Thin-film preparation.</w:t>
      </w:r>
      <w:proofErr w:type="gramEnd"/>
      <w:r>
        <w:rPr>
          <w:b/>
          <w:bCs/>
          <w:sz w:val="20"/>
          <w:szCs w:val="20"/>
        </w:rPr>
        <w:t xml:space="preserve"> </w:t>
      </w:r>
      <w:r>
        <w:rPr>
          <w:sz w:val="20"/>
          <w:szCs w:val="20"/>
        </w:rPr>
        <w:t xml:space="preserve">The precursor solution of 17β-TCA was prepared by dissolving 1 mg of the as-grown crystals in 1 mL of ethanol. Then, 20 </w:t>
      </w:r>
      <w:proofErr w:type="spellStart"/>
      <w:r>
        <w:rPr>
          <w:sz w:val="20"/>
          <w:szCs w:val="20"/>
        </w:rPr>
        <w:t>μL</w:t>
      </w:r>
      <w:proofErr w:type="spellEnd"/>
      <w:r>
        <w:rPr>
          <w:sz w:val="20"/>
          <w:szCs w:val="20"/>
        </w:rPr>
        <w:t xml:space="preserve"> of precursor solution was dropped and spread on a clean indium-doped tin oxide (ITO) glass substrate (1 × 1 cm). The thin film of 17β-TCA was obtained after placing at room temperature for 30 min.</w:t>
      </w:r>
    </w:p>
    <w:p w:rsidR="006C4688" w:rsidRDefault="006C4688" w:rsidP="006C4688">
      <w:pPr>
        <w:pStyle w:val="Maintext"/>
        <w:spacing w:line="360" w:lineRule="auto"/>
        <w:jc w:val="both"/>
        <w:rPr>
          <w:sz w:val="20"/>
          <w:szCs w:val="20"/>
        </w:rPr>
      </w:pPr>
      <w:proofErr w:type="gramStart"/>
      <w:r>
        <w:rPr>
          <w:b/>
          <w:bCs/>
          <w:sz w:val="20"/>
          <w:szCs w:val="20"/>
        </w:rPr>
        <w:t>Single-crystal X-ray crystallography.</w:t>
      </w:r>
      <w:proofErr w:type="gramEnd"/>
      <w:r>
        <w:rPr>
          <w:sz w:val="20"/>
          <w:szCs w:val="20"/>
        </w:rPr>
        <w:t xml:space="preserve"> Crystallographic data were collected using a </w:t>
      </w:r>
      <w:proofErr w:type="spellStart"/>
      <w:r>
        <w:rPr>
          <w:sz w:val="20"/>
          <w:szCs w:val="20"/>
        </w:rPr>
        <w:t>Rigaku</w:t>
      </w:r>
      <w:proofErr w:type="spellEnd"/>
      <w:r>
        <w:rPr>
          <w:sz w:val="20"/>
          <w:szCs w:val="20"/>
        </w:rPr>
        <w:t xml:space="preserve"> Saturn 924 diffractometer equipped with temperature control device, by using Cu Kα (λ = 1.54184 Å) radiation. Data processing including empirical absorption correction, cell refinement, and data reduction was performed using the Crystal Clear software package. CCDC 2153383-2153386 for the compounds contain the supplementary crystallographic data for this paper. These data can be obtained free of charge from the Cambridge Crystallographic Data Centre via www.ccdc.cam.ac.uk/data_request/cif. The data collection and structure refinement of these crystals are summarized in Table S1. Powder X-ray diffraction (PXRD) data were measured using a </w:t>
      </w:r>
      <w:proofErr w:type="spellStart"/>
      <w:r>
        <w:rPr>
          <w:sz w:val="20"/>
          <w:szCs w:val="20"/>
        </w:rPr>
        <w:t>Rigaku</w:t>
      </w:r>
      <w:proofErr w:type="spellEnd"/>
      <w:r>
        <w:rPr>
          <w:sz w:val="20"/>
          <w:szCs w:val="20"/>
        </w:rPr>
        <w:t xml:space="preserve"> D/MAX 2000 PC X-ray diffraction system with Cu K</w:t>
      </w:r>
      <w:r>
        <w:rPr>
          <w:i/>
          <w:sz w:val="20"/>
          <w:szCs w:val="20"/>
        </w:rPr>
        <w:t>α</w:t>
      </w:r>
      <w:r>
        <w:rPr>
          <w:sz w:val="20"/>
          <w:szCs w:val="20"/>
        </w:rPr>
        <w:t xml:space="preserve"> radiation in the 2θ range of 5°–40° with a step size of 0.02° and</w:t>
      </w:r>
      <w:r>
        <w:rPr>
          <w:rFonts w:hint="eastAsia"/>
          <w:sz w:val="20"/>
          <w:szCs w:val="20"/>
        </w:rPr>
        <w:t xml:space="preserve"> a</w:t>
      </w:r>
      <w:r>
        <w:rPr>
          <w:sz w:val="20"/>
          <w:szCs w:val="20"/>
        </w:rPr>
        <w:t xml:space="preserve"> </w:t>
      </w:r>
      <w:r>
        <w:rPr>
          <w:rFonts w:hint="eastAsia"/>
          <w:sz w:val="20"/>
          <w:szCs w:val="20"/>
        </w:rPr>
        <w:t>scan rate</w:t>
      </w:r>
      <w:r>
        <w:rPr>
          <w:sz w:val="20"/>
          <w:szCs w:val="20"/>
        </w:rPr>
        <w:t xml:space="preserve"> of </w:t>
      </w:r>
      <w:r>
        <w:rPr>
          <w:rFonts w:hint="eastAsia"/>
          <w:sz w:val="20"/>
          <w:szCs w:val="20"/>
        </w:rPr>
        <w:t>10</w:t>
      </w:r>
      <w:r>
        <w:rPr>
          <w:sz w:val="20"/>
          <w:szCs w:val="20"/>
        </w:rPr>
        <w:t>°</w:t>
      </w:r>
      <w:r>
        <w:rPr>
          <w:rFonts w:hint="eastAsia"/>
          <w:sz w:val="20"/>
          <w:szCs w:val="20"/>
        </w:rPr>
        <w:t>/min.</w:t>
      </w:r>
    </w:p>
    <w:p w:rsidR="006C4688" w:rsidRDefault="006C4688" w:rsidP="006C4688">
      <w:pPr>
        <w:pStyle w:val="Maintext"/>
        <w:spacing w:line="360" w:lineRule="auto"/>
        <w:jc w:val="both"/>
        <w:rPr>
          <w:sz w:val="20"/>
          <w:szCs w:val="20"/>
        </w:rPr>
      </w:pPr>
      <w:proofErr w:type="gramStart"/>
      <w:r>
        <w:rPr>
          <w:b/>
          <w:bCs/>
          <w:sz w:val="20"/>
          <w:szCs w:val="20"/>
        </w:rPr>
        <w:lastRenderedPageBreak/>
        <w:t>DSC and SHG measurements.</w:t>
      </w:r>
      <w:proofErr w:type="gramEnd"/>
      <w:r>
        <w:rPr>
          <w:sz w:val="20"/>
          <w:szCs w:val="20"/>
        </w:rPr>
        <w:t xml:space="preserve"> Differential scanning calorimetry (DSC) measurements were performed on a PerkinElmer Diamond DSC under nitrogen atmosphere in aluminum crucibles with a heating or cooling rate of 20 K/min. For second harmonic generation (SHG) experiments, an unexpanded laser beam with low divergence (pulsed </w:t>
      </w:r>
      <w:proofErr w:type="spellStart"/>
      <w:r>
        <w:rPr>
          <w:sz w:val="20"/>
          <w:szCs w:val="20"/>
        </w:rPr>
        <w:t>Nd</w:t>
      </w:r>
      <w:proofErr w:type="gramStart"/>
      <w:r>
        <w:rPr>
          <w:sz w:val="20"/>
          <w:szCs w:val="20"/>
        </w:rPr>
        <w:t>:YAG</w:t>
      </w:r>
      <w:proofErr w:type="spellEnd"/>
      <w:proofErr w:type="gramEnd"/>
      <w:r>
        <w:rPr>
          <w:sz w:val="20"/>
          <w:szCs w:val="20"/>
        </w:rPr>
        <w:t xml:space="preserve"> at a wavelength of 1064 nm, 5 ns pulse duration, 1.6 MW peak power, 10 Hz repetition rate) was used. The instrument model is Ins 1210058, INSTEC Instruments, while the laser is Vibrant 355 II, OPOTEK. The numerical values of the nonlinear optical coefficients for SHG have been determined by comparison with a KDP reference</w:t>
      </w:r>
      <w:proofErr w:type="gramStart"/>
      <w:r>
        <w:rPr>
          <w:sz w:val="20"/>
          <w:szCs w:val="20"/>
        </w:rPr>
        <w:t>..</w:t>
      </w:r>
      <w:proofErr w:type="gramEnd"/>
    </w:p>
    <w:p w:rsidR="006C4688" w:rsidRDefault="006C4688" w:rsidP="006C4688">
      <w:pPr>
        <w:pStyle w:val="Maintext"/>
        <w:spacing w:line="360" w:lineRule="auto"/>
        <w:jc w:val="both"/>
        <w:rPr>
          <w:bCs/>
          <w:sz w:val="20"/>
          <w:szCs w:val="20"/>
        </w:rPr>
      </w:pPr>
      <w:proofErr w:type="gramStart"/>
      <w:r>
        <w:rPr>
          <w:b/>
          <w:bCs/>
          <w:sz w:val="20"/>
          <w:szCs w:val="20"/>
        </w:rPr>
        <w:t>PFM characterization.</w:t>
      </w:r>
      <w:proofErr w:type="gramEnd"/>
      <w:r>
        <w:rPr>
          <w:sz w:val="20"/>
          <w:szCs w:val="20"/>
        </w:rPr>
        <w:t xml:space="preserve"> </w:t>
      </w:r>
      <w:r>
        <w:rPr>
          <w:bCs/>
          <w:sz w:val="20"/>
          <w:szCs w:val="20"/>
        </w:rPr>
        <w:t xml:space="preserve">The PFM measurement was carried out on a commercial </w:t>
      </w:r>
      <w:proofErr w:type="spellStart"/>
      <w:r>
        <w:rPr>
          <w:bCs/>
          <w:sz w:val="20"/>
          <w:szCs w:val="20"/>
        </w:rPr>
        <w:t>piezoresponse</w:t>
      </w:r>
      <w:proofErr w:type="spellEnd"/>
      <w:r>
        <w:rPr>
          <w:bCs/>
          <w:sz w:val="20"/>
          <w:szCs w:val="20"/>
        </w:rPr>
        <w:t xml:space="preserve"> force microscope (Oxford instrument, Cypher ES) with high-voltage package and in-situ heating stage. PFM is based on the atomic force microscopy (AFM), with an AC drive voltage applied to the conductive tip. Conductive Pt/</w:t>
      </w:r>
      <w:proofErr w:type="spellStart"/>
      <w:r>
        <w:rPr>
          <w:bCs/>
          <w:sz w:val="20"/>
          <w:szCs w:val="20"/>
        </w:rPr>
        <w:t>Ir</w:t>
      </w:r>
      <w:proofErr w:type="spellEnd"/>
      <w:r>
        <w:rPr>
          <w:bCs/>
          <w:sz w:val="20"/>
          <w:szCs w:val="20"/>
        </w:rPr>
        <w:t xml:space="preserve">-coated silicon probes (EFM, </w:t>
      </w:r>
      <w:proofErr w:type="spellStart"/>
      <w:r>
        <w:rPr>
          <w:bCs/>
          <w:sz w:val="20"/>
          <w:szCs w:val="20"/>
        </w:rPr>
        <w:t>Nanoworld</w:t>
      </w:r>
      <w:proofErr w:type="spellEnd"/>
      <w:r>
        <w:rPr>
          <w:bCs/>
          <w:sz w:val="20"/>
          <w:szCs w:val="20"/>
        </w:rPr>
        <w:t xml:space="preserve">) were used for domain imaging and polarization switching studies, with a nominal spring constant of ~2.8 </w:t>
      </w:r>
      <w:proofErr w:type="spellStart"/>
      <w:r>
        <w:rPr>
          <w:bCs/>
          <w:sz w:val="20"/>
          <w:szCs w:val="20"/>
        </w:rPr>
        <w:t>nN</w:t>
      </w:r>
      <w:proofErr w:type="spellEnd"/>
      <w:r>
        <w:rPr>
          <w:bCs/>
          <w:sz w:val="20"/>
          <w:szCs w:val="20"/>
        </w:rPr>
        <w:t xml:space="preserve">/nm and a free-air resonance frequency of ~75 kHz. </w:t>
      </w:r>
    </w:p>
    <w:p w:rsidR="006C4688" w:rsidRDefault="006C4688" w:rsidP="006C4688">
      <w:pPr>
        <w:pStyle w:val="Maintext"/>
        <w:spacing w:line="360" w:lineRule="auto"/>
        <w:jc w:val="both"/>
        <w:rPr>
          <w:sz w:val="20"/>
          <w:szCs w:val="20"/>
        </w:rPr>
      </w:pPr>
      <w:proofErr w:type="gramStart"/>
      <w:r>
        <w:rPr>
          <w:b/>
          <w:bCs/>
          <w:sz w:val="20"/>
          <w:szCs w:val="20"/>
        </w:rPr>
        <w:t>Calculation condition.</w:t>
      </w:r>
      <w:proofErr w:type="gramEnd"/>
      <w:r>
        <w:rPr>
          <w:sz w:val="20"/>
          <w:szCs w:val="20"/>
        </w:rPr>
        <w:t xml:space="preserve"> The dipole moment was calculated at b3lyp/6-</w:t>
      </w:r>
      <w:proofErr w:type="gramStart"/>
      <w:r>
        <w:rPr>
          <w:sz w:val="20"/>
          <w:szCs w:val="20"/>
        </w:rPr>
        <w:t>31G(</w:t>
      </w:r>
      <w:proofErr w:type="gramEnd"/>
      <w:r>
        <w:rPr>
          <w:sz w:val="20"/>
          <w:szCs w:val="20"/>
        </w:rPr>
        <w:t xml:space="preserve">d) level with Gaussian 16 software. We constructed molecular conformation based on the experimentally measured single crystal X-ray diffraction structure. We carried out density functional calculations based on the Berry phase method developed by </w:t>
      </w:r>
      <w:proofErr w:type="spellStart"/>
      <w:r>
        <w:rPr>
          <w:sz w:val="20"/>
          <w:szCs w:val="20"/>
        </w:rPr>
        <w:t>Kingsmith</w:t>
      </w:r>
      <w:proofErr w:type="spellEnd"/>
      <w:r>
        <w:rPr>
          <w:sz w:val="20"/>
          <w:szCs w:val="20"/>
        </w:rPr>
        <w:t xml:space="preserve"> and Vanderbilt</w:t>
      </w:r>
      <w:r>
        <w:rPr>
          <w:rFonts w:eastAsiaTheme="minorEastAsia" w:hint="eastAsia"/>
          <w:sz w:val="20"/>
          <w:szCs w:val="20"/>
        </w:rPr>
        <w:t xml:space="preserve"> [1, 2]</w:t>
      </w:r>
      <w:r>
        <w:rPr>
          <w:sz w:val="20"/>
          <w:szCs w:val="20"/>
        </w:rPr>
        <w:t>. The first-principles calculations were performed within the framework of density functional theory implemented in the Vienna ab initio Simulation Package (VASP; 5.4.4)</w:t>
      </w:r>
      <w:r>
        <w:rPr>
          <w:rFonts w:eastAsiaTheme="minorEastAsia" w:hint="eastAsia"/>
          <w:sz w:val="20"/>
          <w:szCs w:val="20"/>
        </w:rPr>
        <w:t xml:space="preserve"> [3, 4].</w:t>
      </w:r>
      <w:r>
        <w:rPr>
          <w:sz w:val="20"/>
          <w:szCs w:val="20"/>
        </w:rPr>
        <w:t xml:space="preserve"> The energy cut-off for the expansion of the wave functions was fixed to 550 eV and the exchange−correlation interactions were treated within the generalized gradient approximation of the </w:t>
      </w:r>
      <w:proofErr w:type="spellStart"/>
      <w:r>
        <w:rPr>
          <w:sz w:val="20"/>
          <w:szCs w:val="20"/>
        </w:rPr>
        <w:t>Perdew</w:t>
      </w:r>
      <w:proofErr w:type="spellEnd"/>
      <w:r>
        <w:rPr>
          <w:sz w:val="20"/>
          <w:szCs w:val="20"/>
        </w:rPr>
        <w:t>−Burke−</w:t>
      </w:r>
      <w:proofErr w:type="spellStart"/>
      <w:r>
        <w:rPr>
          <w:sz w:val="20"/>
          <w:szCs w:val="20"/>
        </w:rPr>
        <w:t>Ernzerhof</w:t>
      </w:r>
      <w:proofErr w:type="spellEnd"/>
      <w:r>
        <w:rPr>
          <w:sz w:val="20"/>
          <w:szCs w:val="20"/>
        </w:rPr>
        <w:t xml:space="preserve"> type</w:t>
      </w:r>
      <w:r>
        <w:rPr>
          <w:rFonts w:eastAsiaTheme="minorEastAsia" w:hint="eastAsia"/>
          <w:sz w:val="20"/>
          <w:szCs w:val="20"/>
        </w:rPr>
        <w:t xml:space="preserve"> [5]</w:t>
      </w:r>
      <w:r>
        <w:rPr>
          <w:sz w:val="20"/>
          <w:szCs w:val="20"/>
        </w:rPr>
        <w:t>. Firstly, the geometrical optimization was performed by fixing the lattice constant based on the experimentally X-ray crystal structure. Then, the Berry phase calculation was calculated on the optimized geometry.</w:t>
      </w:r>
    </w:p>
    <w:p w:rsidR="006C4688" w:rsidRDefault="006C4688" w:rsidP="006C4688">
      <w:pPr>
        <w:pStyle w:val="Maintext"/>
        <w:spacing w:line="360" w:lineRule="auto"/>
        <w:jc w:val="both"/>
        <w:rPr>
          <w:sz w:val="20"/>
          <w:szCs w:val="20"/>
        </w:rPr>
      </w:pPr>
      <w:r>
        <w:rPr>
          <w:sz w:val="20"/>
          <w:szCs w:val="20"/>
        </w:rPr>
        <w:t xml:space="preserve"> </w:t>
      </w:r>
    </w:p>
    <w:p w:rsidR="006C4688" w:rsidRDefault="006C4688" w:rsidP="006C4688">
      <w:pPr>
        <w:pStyle w:val="Maintext"/>
        <w:spacing w:line="360" w:lineRule="auto"/>
        <w:jc w:val="both"/>
        <w:rPr>
          <w:rFonts w:eastAsiaTheme="minorEastAsia"/>
          <w:sz w:val="20"/>
          <w:szCs w:val="20"/>
        </w:rPr>
        <w:sectPr w:rsidR="006C4688">
          <w:footerReference w:type="default" r:id="rId8"/>
          <w:pgSz w:w="11906" w:h="16838"/>
          <w:pgMar w:top="1134" w:right="936" w:bottom="1134" w:left="936" w:header="1021" w:footer="0" w:gutter="0"/>
          <w:cols w:space="720"/>
          <w:docGrid w:type="lines" w:linePitch="360"/>
        </w:sectPr>
      </w:pPr>
      <w:r>
        <w:rPr>
          <w:sz w:val="20"/>
          <w:szCs w:val="20"/>
        </w:rPr>
        <w:t xml:space="preserve"> </w:t>
      </w:r>
    </w:p>
    <w:p w:rsidR="006C4688" w:rsidRDefault="006C4688" w:rsidP="006C4688">
      <w:pPr>
        <w:jc w:val="center"/>
        <w:rPr>
          <w:bCs/>
          <w:iCs/>
          <w:sz w:val="20"/>
          <w:szCs w:val="20"/>
        </w:rPr>
      </w:pPr>
      <w:r>
        <w:rPr>
          <w:noProof/>
          <w:sz w:val="20"/>
          <w:szCs w:val="20"/>
        </w:rPr>
        <w:lastRenderedPageBreak/>
        <w:drawing>
          <wp:inline distT="0" distB="0" distL="0" distR="0" wp14:anchorId="68C53C2C" wp14:editId="71A24F34">
            <wp:extent cx="3604260" cy="2842260"/>
            <wp:effectExtent l="0" t="0" r="0" b="0"/>
            <wp:docPr id="9" name="图片 9" descr="C:\Users\蒋欢欢\AppData\Local\Temp\ksohtml11512\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蒋欢欢\AppData\Local\Temp\ksohtml11512\wps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604260" cy="2842260"/>
                    </a:xfrm>
                    <a:prstGeom prst="rect">
                      <a:avLst/>
                    </a:prstGeom>
                    <a:noFill/>
                    <a:ln>
                      <a:noFill/>
                    </a:ln>
                  </pic:spPr>
                </pic:pic>
              </a:graphicData>
            </a:graphic>
          </wp:inline>
        </w:drawing>
      </w:r>
    </w:p>
    <w:p w:rsidR="006C4688" w:rsidRDefault="00F0589B" w:rsidP="006C4688">
      <w:pPr>
        <w:pStyle w:val="Maintext"/>
        <w:spacing w:line="360" w:lineRule="auto"/>
        <w:jc w:val="both"/>
        <w:rPr>
          <w:iCs/>
          <w:sz w:val="20"/>
          <w:szCs w:val="20"/>
        </w:rPr>
      </w:pPr>
      <w:proofErr w:type="gramStart"/>
      <w:r>
        <w:rPr>
          <w:b/>
          <w:bCs/>
          <w:iCs/>
          <w:sz w:val="20"/>
          <w:szCs w:val="20"/>
        </w:rPr>
        <w:t>Fig.</w:t>
      </w:r>
      <w:proofErr w:type="gramEnd"/>
      <w:r w:rsidR="006C4688">
        <w:rPr>
          <w:b/>
          <w:bCs/>
          <w:iCs/>
          <w:sz w:val="20"/>
          <w:szCs w:val="20"/>
        </w:rPr>
        <w:t xml:space="preserve"> S1.</w:t>
      </w:r>
      <w:r w:rsidR="006C4688">
        <w:rPr>
          <w:iCs/>
          <w:sz w:val="20"/>
          <w:szCs w:val="20"/>
        </w:rPr>
        <w:t xml:space="preserve"> Crystal structures </w:t>
      </w:r>
      <w:r w:rsidR="006C4688">
        <w:rPr>
          <w:bCs/>
          <w:iCs/>
          <w:sz w:val="20"/>
          <w:szCs w:val="20"/>
        </w:rPr>
        <w:t xml:space="preserve">of </w:t>
      </w:r>
      <w:r w:rsidR="006C4688">
        <w:rPr>
          <w:iCs/>
          <w:sz w:val="20"/>
          <w:szCs w:val="20"/>
        </w:rPr>
        <w:t xml:space="preserve">17β-TCA at 293 K. </w:t>
      </w:r>
      <w:r w:rsidR="006C4688">
        <w:rPr>
          <w:bCs/>
          <w:iCs/>
          <w:sz w:val="20"/>
          <w:szCs w:val="20"/>
        </w:rPr>
        <w:t xml:space="preserve">Each </w:t>
      </w:r>
      <w:r w:rsidR="006C4688">
        <w:rPr>
          <w:iCs/>
          <w:sz w:val="20"/>
          <w:szCs w:val="20"/>
        </w:rPr>
        <w:t>17β-TCA</w:t>
      </w:r>
      <w:r w:rsidR="006C4688">
        <w:rPr>
          <w:bCs/>
          <w:iCs/>
          <w:sz w:val="20"/>
          <w:szCs w:val="20"/>
        </w:rPr>
        <w:t xml:space="preserve"> molecule links neighbor others through O–H···O hydrogen bonds, giving rise to an infinite head-to-tail one-dimensional hydrogen-bonded chain.</w:t>
      </w:r>
    </w:p>
    <w:p w:rsidR="006C4688" w:rsidRDefault="006C4688" w:rsidP="006C4688">
      <w:pPr>
        <w:pStyle w:val="Maintext"/>
        <w:spacing w:line="360" w:lineRule="auto"/>
        <w:jc w:val="both"/>
        <w:rPr>
          <w:iCs/>
          <w:sz w:val="20"/>
          <w:szCs w:val="20"/>
        </w:rPr>
      </w:pPr>
      <w:r>
        <w:rPr>
          <w:iCs/>
          <w:sz w:val="20"/>
          <w:szCs w:val="20"/>
        </w:rPr>
        <w:t xml:space="preserve"> </w:t>
      </w:r>
    </w:p>
    <w:p w:rsidR="006C4688" w:rsidRDefault="006C4688" w:rsidP="006C4688">
      <w:pPr>
        <w:pStyle w:val="Maintext"/>
        <w:spacing w:line="360" w:lineRule="auto"/>
        <w:jc w:val="center"/>
        <w:rPr>
          <w:sz w:val="20"/>
          <w:szCs w:val="20"/>
        </w:rPr>
      </w:pPr>
      <w:r>
        <w:rPr>
          <w:noProof/>
          <w:sz w:val="20"/>
          <w:szCs w:val="20"/>
        </w:rPr>
        <w:drawing>
          <wp:inline distT="0" distB="0" distL="0" distR="0" wp14:anchorId="1A4EBA71" wp14:editId="59533187">
            <wp:extent cx="2880360" cy="2964180"/>
            <wp:effectExtent l="0" t="0" r="0" b="7620"/>
            <wp:docPr id="8" name="图片 8" descr="C:\Users\蒋欢欢\AppData\Local\Temp\ksohtml11512\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蒋欢欢\AppData\Local\Temp\ksohtml11512\wps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880360" cy="2964180"/>
                    </a:xfrm>
                    <a:prstGeom prst="rect">
                      <a:avLst/>
                    </a:prstGeom>
                    <a:noFill/>
                    <a:ln>
                      <a:noFill/>
                    </a:ln>
                  </pic:spPr>
                </pic:pic>
              </a:graphicData>
            </a:graphic>
          </wp:inline>
        </w:drawing>
      </w:r>
      <w:r>
        <w:rPr>
          <w:sz w:val="20"/>
          <w:szCs w:val="20"/>
        </w:rPr>
        <w:t xml:space="preserve"> </w:t>
      </w:r>
    </w:p>
    <w:p w:rsidR="006C4688" w:rsidRDefault="00F0589B" w:rsidP="006C4688">
      <w:pPr>
        <w:pStyle w:val="Maintext"/>
        <w:spacing w:line="360" w:lineRule="auto"/>
        <w:jc w:val="both"/>
        <w:rPr>
          <w:iCs/>
          <w:sz w:val="20"/>
          <w:szCs w:val="20"/>
        </w:rPr>
      </w:pPr>
      <w:proofErr w:type="gramStart"/>
      <w:r>
        <w:rPr>
          <w:b/>
          <w:bCs/>
          <w:iCs/>
          <w:sz w:val="20"/>
          <w:szCs w:val="20"/>
        </w:rPr>
        <w:t>Fig.</w:t>
      </w:r>
      <w:proofErr w:type="gramEnd"/>
      <w:r w:rsidR="006C4688">
        <w:rPr>
          <w:b/>
          <w:bCs/>
          <w:iCs/>
          <w:sz w:val="20"/>
          <w:szCs w:val="20"/>
        </w:rPr>
        <w:t xml:space="preserve"> S2.</w:t>
      </w:r>
      <w:r w:rsidR="006C4688">
        <w:rPr>
          <w:iCs/>
          <w:sz w:val="20"/>
          <w:szCs w:val="20"/>
        </w:rPr>
        <w:t xml:space="preserve"> a) The asymmetri</w:t>
      </w:r>
      <w:r w:rsidR="006C4688">
        <w:rPr>
          <w:bCs/>
          <w:iCs/>
          <w:sz w:val="20"/>
          <w:szCs w:val="20"/>
        </w:rPr>
        <w:t xml:space="preserve">c unit and b) </w:t>
      </w:r>
      <w:r w:rsidR="006C4688">
        <w:rPr>
          <w:iCs/>
          <w:sz w:val="20"/>
          <w:szCs w:val="20"/>
        </w:rPr>
        <w:t xml:space="preserve">packing view of crystal structure </w:t>
      </w:r>
      <w:r w:rsidR="006C4688">
        <w:rPr>
          <w:bCs/>
          <w:iCs/>
          <w:sz w:val="20"/>
          <w:szCs w:val="20"/>
        </w:rPr>
        <w:t xml:space="preserve">of </w:t>
      </w:r>
      <w:r w:rsidR="006C4688">
        <w:rPr>
          <w:iCs/>
          <w:sz w:val="20"/>
          <w:szCs w:val="20"/>
        </w:rPr>
        <w:t>progesterone at 93 K.</w:t>
      </w:r>
    </w:p>
    <w:p w:rsidR="006C4688" w:rsidRDefault="006C4688" w:rsidP="006C4688">
      <w:pPr>
        <w:pStyle w:val="Maintext"/>
        <w:spacing w:line="360" w:lineRule="auto"/>
        <w:jc w:val="center"/>
        <w:rPr>
          <w:sz w:val="20"/>
          <w:szCs w:val="20"/>
        </w:rPr>
      </w:pPr>
      <w:r>
        <w:rPr>
          <w:noProof/>
          <w:sz w:val="20"/>
          <w:szCs w:val="20"/>
        </w:rPr>
        <w:lastRenderedPageBreak/>
        <w:drawing>
          <wp:inline distT="0" distB="0" distL="0" distR="0" wp14:anchorId="312F3221" wp14:editId="7AA2DB26">
            <wp:extent cx="4312920" cy="4389120"/>
            <wp:effectExtent l="0" t="0" r="0" b="0"/>
            <wp:docPr id="7" name="图片 7" descr="C:\Users\蒋欢欢\AppData\Local\Temp\ksohtml11512\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蒋欢欢\AppData\Local\Temp\ksohtml11512\wps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312920" cy="4389120"/>
                    </a:xfrm>
                    <a:prstGeom prst="rect">
                      <a:avLst/>
                    </a:prstGeom>
                    <a:noFill/>
                    <a:ln>
                      <a:noFill/>
                    </a:ln>
                  </pic:spPr>
                </pic:pic>
              </a:graphicData>
            </a:graphic>
          </wp:inline>
        </w:drawing>
      </w:r>
      <w:r>
        <w:rPr>
          <w:sz w:val="20"/>
          <w:szCs w:val="20"/>
        </w:rPr>
        <w:t xml:space="preserve"> </w:t>
      </w:r>
    </w:p>
    <w:p w:rsidR="006C4688" w:rsidRDefault="00F0589B" w:rsidP="006C4688">
      <w:pPr>
        <w:pStyle w:val="Maintext"/>
        <w:spacing w:line="360" w:lineRule="auto"/>
        <w:jc w:val="both"/>
        <w:rPr>
          <w:iCs/>
          <w:sz w:val="20"/>
          <w:szCs w:val="20"/>
        </w:rPr>
      </w:pPr>
      <w:proofErr w:type="gramStart"/>
      <w:r>
        <w:rPr>
          <w:b/>
          <w:bCs/>
          <w:iCs/>
          <w:sz w:val="20"/>
          <w:szCs w:val="20"/>
        </w:rPr>
        <w:t>Fig.</w:t>
      </w:r>
      <w:proofErr w:type="gramEnd"/>
      <w:r w:rsidR="006C4688">
        <w:rPr>
          <w:b/>
          <w:bCs/>
          <w:iCs/>
          <w:sz w:val="20"/>
          <w:szCs w:val="20"/>
        </w:rPr>
        <w:t xml:space="preserve"> S3.</w:t>
      </w:r>
      <w:r w:rsidR="006C4688">
        <w:rPr>
          <w:iCs/>
          <w:sz w:val="20"/>
          <w:szCs w:val="20"/>
        </w:rPr>
        <w:t xml:space="preserve"> </w:t>
      </w:r>
      <w:r w:rsidR="006C4688">
        <w:rPr>
          <w:bCs/>
          <w:iCs/>
          <w:sz w:val="20"/>
          <w:szCs w:val="20"/>
        </w:rPr>
        <w:t>The asymmetric unit</w:t>
      </w:r>
      <w:r w:rsidR="006C4688">
        <w:rPr>
          <w:iCs/>
          <w:sz w:val="20"/>
          <w:szCs w:val="20"/>
        </w:rPr>
        <w:t xml:space="preserve"> of crystal structure </w:t>
      </w:r>
      <w:r w:rsidR="006C4688">
        <w:rPr>
          <w:bCs/>
          <w:iCs/>
          <w:sz w:val="20"/>
          <w:szCs w:val="20"/>
        </w:rPr>
        <w:t xml:space="preserve">of </w:t>
      </w:r>
      <w:r w:rsidR="006C4688">
        <w:rPr>
          <w:iCs/>
          <w:sz w:val="20"/>
          <w:szCs w:val="20"/>
        </w:rPr>
        <w:t xml:space="preserve">17β-TCA at a) 293 K, c) 100 K and e) 423 K. The packing view of crystal structure </w:t>
      </w:r>
      <w:r w:rsidR="006C4688">
        <w:rPr>
          <w:bCs/>
          <w:iCs/>
          <w:sz w:val="20"/>
          <w:szCs w:val="20"/>
        </w:rPr>
        <w:t xml:space="preserve">of </w:t>
      </w:r>
      <w:r w:rsidR="006C4688">
        <w:rPr>
          <w:iCs/>
          <w:sz w:val="20"/>
          <w:szCs w:val="20"/>
        </w:rPr>
        <w:t>17β-TCA at b) 293 K, d) 100 K and f) 423 K.</w:t>
      </w:r>
    </w:p>
    <w:p w:rsidR="006C4688" w:rsidRDefault="006C4688" w:rsidP="006C4688">
      <w:pPr>
        <w:pStyle w:val="Maintext"/>
        <w:spacing w:line="360" w:lineRule="auto"/>
        <w:jc w:val="both"/>
        <w:rPr>
          <w:bCs/>
          <w:iCs/>
          <w:sz w:val="20"/>
          <w:szCs w:val="20"/>
        </w:rPr>
      </w:pPr>
      <w:r>
        <w:rPr>
          <w:bCs/>
          <w:iCs/>
          <w:sz w:val="20"/>
          <w:szCs w:val="20"/>
        </w:rPr>
        <w:t xml:space="preserve"> </w:t>
      </w:r>
    </w:p>
    <w:p w:rsidR="006C4688" w:rsidRDefault="006C4688" w:rsidP="006C4688">
      <w:pPr>
        <w:pStyle w:val="Maintext"/>
        <w:spacing w:line="360" w:lineRule="auto"/>
        <w:jc w:val="center"/>
        <w:rPr>
          <w:sz w:val="20"/>
          <w:szCs w:val="20"/>
        </w:rPr>
      </w:pPr>
      <w:r>
        <w:rPr>
          <w:noProof/>
          <w:sz w:val="20"/>
          <w:szCs w:val="20"/>
        </w:rPr>
        <w:drawing>
          <wp:inline distT="0" distB="0" distL="0" distR="0" wp14:anchorId="1D1BCD6A" wp14:editId="4EA42F94">
            <wp:extent cx="2880360" cy="2209800"/>
            <wp:effectExtent l="0" t="0" r="0" b="0"/>
            <wp:docPr id="6" name="图片 6" descr="C:\Users\蒋欢欢\AppData\Local\Temp\ksohtml11512\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蒋欢欢\AppData\Local\Temp\ksohtml11512\wps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880360" cy="2209800"/>
                    </a:xfrm>
                    <a:prstGeom prst="rect">
                      <a:avLst/>
                    </a:prstGeom>
                    <a:noFill/>
                    <a:ln>
                      <a:noFill/>
                    </a:ln>
                  </pic:spPr>
                </pic:pic>
              </a:graphicData>
            </a:graphic>
          </wp:inline>
        </w:drawing>
      </w:r>
      <w:r>
        <w:rPr>
          <w:sz w:val="20"/>
          <w:szCs w:val="20"/>
        </w:rPr>
        <w:t xml:space="preserve"> </w:t>
      </w:r>
    </w:p>
    <w:p w:rsidR="006C4688" w:rsidRDefault="00F0589B" w:rsidP="006C4688">
      <w:pPr>
        <w:pStyle w:val="Maintext"/>
        <w:spacing w:line="360" w:lineRule="auto"/>
        <w:jc w:val="both"/>
        <w:rPr>
          <w:iCs/>
          <w:sz w:val="20"/>
          <w:szCs w:val="20"/>
        </w:rPr>
      </w:pPr>
      <w:proofErr w:type="gramStart"/>
      <w:r>
        <w:rPr>
          <w:b/>
          <w:bCs/>
          <w:iCs/>
          <w:sz w:val="20"/>
          <w:szCs w:val="20"/>
        </w:rPr>
        <w:t>Fig.</w:t>
      </w:r>
      <w:proofErr w:type="gramEnd"/>
      <w:r w:rsidR="006C4688">
        <w:rPr>
          <w:b/>
          <w:bCs/>
          <w:iCs/>
          <w:sz w:val="20"/>
          <w:szCs w:val="20"/>
        </w:rPr>
        <w:t xml:space="preserve"> S4.</w:t>
      </w:r>
      <w:r w:rsidR="006C4688">
        <w:rPr>
          <w:iCs/>
          <w:sz w:val="20"/>
          <w:szCs w:val="20"/>
        </w:rPr>
        <w:t xml:space="preserve"> </w:t>
      </w:r>
      <w:proofErr w:type="gramStart"/>
      <w:r w:rsidR="006C4688">
        <w:rPr>
          <w:iCs/>
          <w:sz w:val="20"/>
          <w:szCs w:val="20"/>
        </w:rPr>
        <w:t>Thermal Analysis of 17β-TCA.</w:t>
      </w:r>
      <w:proofErr w:type="gramEnd"/>
    </w:p>
    <w:p w:rsidR="006C4688" w:rsidRDefault="006C4688" w:rsidP="006C4688">
      <w:pPr>
        <w:pStyle w:val="Maintext"/>
        <w:spacing w:line="360" w:lineRule="auto"/>
        <w:jc w:val="both"/>
        <w:rPr>
          <w:bCs/>
          <w:iCs/>
          <w:sz w:val="20"/>
          <w:szCs w:val="20"/>
        </w:rPr>
      </w:pPr>
      <w:r>
        <w:rPr>
          <w:bCs/>
          <w:iCs/>
          <w:sz w:val="20"/>
          <w:szCs w:val="20"/>
        </w:rPr>
        <w:t xml:space="preserve"> </w:t>
      </w:r>
    </w:p>
    <w:p w:rsidR="006C4688" w:rsidRDefault="006C4688" w:rsidP="006C4688">
      <w:pPr>
        <w:pStyle w:val="Maintext"/>
        <w:spacing w:line="360" w:lineRule="auto"/>
        <w:jc w:val="center"/>
        <w:rPr>
          <w:sz w:val="20"/>
          <w:szCs w:val="20"/>
        </w:rPr>
      </w:pPr>
      <w:r>
        <w:rPr>
          <w:noProof/>
          <w:sz w:val="20"/>
          <w:szCs w:val="20"/>
        </w:rPr>
        <w:lastRenderedPageBreak/>
        <w:drawing>
          <wp:inline distT="0" distB="0" distL="0" distR="0" wp14:anchorId="0B9E1233" wp14:editId="4A2CDAE2">
            <wp:extent cx="2880360" cy="2339340"/>
            <wp:effectExtent l="0" t="0" r="0" b="3810"/>
            <wp:docPr id="5" name="图片 5" descr="C:\Users\蒋欢欢\AppData\Local\Temp\ksohtml1151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蒋欢欢\AppData\Local\Temp\ksohtml11512\wps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880360" cy="2339340"/>
                    </a:xfrm>
                    <a:prstGeom prst="rect">
                      <a:avLst/>
                    </a:prstGeom>
                    <a:noFill/>
                    <a:ln>
                      <a:noFill/>
                    </a:ln>
                  </pic:spPr>
                </pic:pic>
              </a:graphicData>
            </a:graphic>
          </wp:inline>
        </w:drawing>
      </w:r>
      <w:r>
        <w:rPr>
          <w:sz w:val="20"/>
          <w:szCs w:val="20"/>
        </w:rPr>
        <w:t xml:space="preserve"> </w:t>
      </w:r>
    </w:p>
    <w:p w:rsidR="006C4688" w:rsidRDefault="00F0589B" w:rsidP="006C4688">
      <w:pPr>
        <w:pStyle w:val="Maintext"/>
        <w:spacing w:line="360" w:lineRule="auto"/>
        <w:jc w:val="both"/>
        <w:rPr>
          <w:iCs/>
          <w:sz w:val="20"/>
          <w:szCs w:val="20"/>
        </w:rPr>
      </w:pPr>
      <w:proofErr w:type="gramStart"/>
      <w:r>
        <w:rPr>
          <w:b/>
          <w:bCs/>
          <w:iCs/>
          <w:sz w:val="20"/>
          <w:szCs w:val="20"/>
        </w:rPr>
        <w:t>Fig.</w:t>
      </w:r>
      <w:proofErr w:type="gramEnd"/>
      <w:r w:rsidR="006C4688">
        <w:rPr>
          <w:b/>
          <w:bCs/>
          <w:iCs/>
          <w:sz w:val="20"/>
          <w:szCs w:val="20"/>
        </w:rPr>
        <w:t xml:space="preserve"> S5.</w:t>
      </w:r>
      <w:r w:rsidR="006C4688">
        <w:rPr>
          <w:iCs/>
          <w:sz w:val="20"/>
          <w:szCs w:val="20"/>
        </w:rPr>
        <w:t xml:space="preserve"> </w:t>
      </w:r>
      <w:proofErr w:type="gramStart"/>
      <w:r w:rsidR="006C4688">
        <w:rPr>
          <w:iCs/>
          <w:sz w:val="20"/>
          <w:szCs w:val="20"/>
        </w:rPr>
        <w:t>The measured powder X-ray diffraction pattern of 17β-TCA at 293 K, matching well with the one simulated by crystal data.</w:t>
      </w:r>
      <w:proofErr w:type="gramEnd"/>
    </w:p>
    <w:p w:rsidR="006C4688" w:rsidRDefault="006C4688" w:rsidP="006C4688">
      <w:pPr>
        <w:pStyle w:val="Maintext"/>
        <w:spacing w:line="360" w:lineRule="auto"/>
        <w:jc w:val="both"/>
        <w:rPr>
          <w:iCs/>
          <w:sz w:val="20"/>
          <w:szCs w:val="20"/>
        </w:rPr>
      </w:pPr>
      <w:r>
        <w:rPr>
          <w:iCs/>
          <w:sz w:val="20"/>
          <w:szCs w:val="20"/>
        </w:rPr>
        <w:t xml:space="preserve"> </w:t>
      </w:r>
    </w:p>
    <w:p w:rsidR="006C4688" w:rsidRDefault="006C4688" w:rsidP="006C4688">
      <w:pPr>
        <w:pStyle w:val="Maintext"/>
        <w:spacing w:line="360" w:lineRule="auto"/>
        <w:jc w:val="center"/>
        <w:rPr>
          <w:sz w:val="20"/>
          <w:szCs w:val="20"/>
        </w:rPr>
      </w:pPr>
      <w:r>
        <w:rPr>
          <w:noProof/>
          <w:sz w:val="20"/>
          <w:szCs w:val="20"/>
        </w:rPr>
        <w:drawing>
          <wp:inline distT="0" distB="0" distL="0" distR="0" wp14:anchorId="20D74C89" wp14:editId="7E9FF7C3">
            <wp:extent cx="2987040" cy="2331720"/>
            <wp:effectExtent l="0" t="0" r="3810" b="0"/>
            <wp:docPr id="4" name="图片 4" descr="C:\Users\蒋欢欢\AppData\Local\Temp\ksohtml11512\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蒋欢欢\AppData\Local\Temp\ksohtml11512\wps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987040" cy="2331720"/>
                    </a:xfrm>
                    <a:prstGeom prst="rect">
                      <a:avLst/>
                    </a:prstGeom>
                    <a:noFill/>
                    <a:ln>
                      <a:noFill/>
                    </a:ln>
                  </pic:spPr>
                </pic:pic>
              </a:graphicData>
            </a:graphic>
          </wp:inline>
        </w:drawing>
      </w:r>
      <w:r>
        <w:rPr>
          <w:sz w:val="20"/>
          <w:szCs w:val="20"/>
        </w:rPr>
        <w:t xml:space="preserve"> </w:t>
      </w:r>
    </w:p>
    <w:p w:rsidR="006C4688" w:rsidRDefault="00F0589B" w:rsidP="006C4688">
      <w:pPr>
        <w:pStyle w:val="Maintext"/>
        <w:spacing w:line="360" w:lineRule="auto"/>
        <w:jc w:val="both"/>
        <w:rPr>
          <w:iCs/>
          <w:sz w:val="20"/>
          <w:szCs w:val="20"/>
        </w:rPr>
      </w:pPr>
      <w:proofErr w:type="gramStart"/>
      <w:r>
        <w:rPr>
          <w:rFonts w:hint="eastAsia"/>
          <w:b/>
          <w:bCs/>
          <w:iCs/>
          <w:sz w:val="20"/>
          <w:szCs w:val="20"/>
        </w:rPr>
        <w:t>Fig.</w:t>
      </w:r>
      <w:proofErr w:type="gramEnd"/>
      <w:r w:rsidR="006C4688">
        <w:rPr>
          <w:rFonts w:hint="eastAsia"/>
          <w:b/>
          <w:bCs/>
          <w:iCs/>
          <w:sz w:val="20"/>
          <w:szCs w:val="20"/>
        </w:rPr>
        <w:t xml:space="preserve"> </w:t>
      </w:r>
      <w:r w:rsidR="006C4688">
        <w:rPr>
          <w:b/>
          <w:bCs/>
          <w:iCs/>
          <w:sz w:val="20"/>
          <w:szCs w:val="20"/>
        </w:rPr>
        <w:t xml:space="preserve">S6. </w:t>
      </w:r>
      <w:proofErr w:type="gramStart"/>
      <w:r w:rsidR="006C4688">
        <w:rPr>
          <w:iCs/>
          <w:sz w:val="20"/>
          <w:szCs w:val="20"/>
        </w:rPr>
        <w:t>Molecular structure diagrams containing different 'boat' and 'chair' conformations (a, c and e), with the corresponding molecular dipole diagrams on the right (b, d and f).</w:t>
      </w:r>
      <w:proofErr w:type="gramEnd"/>
      <w:r w:rsidR="006C4688">
        <w:rPr>
          <w:iCs/>
          <w:sz w:val="20"/>
          <w:szCs w:val="20"/>
        </w:rPr>
        <w:t xml:space="preserve"> (Blue arrows represent the direction of the dipole moment.)</w:t>
      </w:r>
    </w:p>
    <w:p w:rsidR="006C4688" w:rsidRDefault="006C4688" w:rsidP="006C4688">
      <w:pPr>
        <w:pStyle w:val="Maintext"/>
        <w:spacing w:line="360" w:lineRule="auto"/>
        <w:jc w:val="both"/>
        <w:rPr>
          <w:rFonts w:eastAsiaTheme="minorEastAsia"/>
          <w:iCs/>
          <w:sz w:val="20"/>
          <w:szCs w:val="20"/>
        </w:rPr>
      </w:pPr>
      <w:r>
        <w:rPr>
          <w:iCs/>
          <w:sz w:val="20"/>
          <w:szCs w:val="20"/>
        </w:rPr>
        <w:t xml:space="preserve"> </w:t>
      </w:r>
    </w:p>
    <w:p w:rsidR="006C4688" w:rsidRDefault="006C4688" w:rsidP="006C4688">
      <w:pPr>
        <w:pStyle w:val="Maintext"/>
        <w:spacing w:line="360" w:lineRule="auto"/>
        <w:jc w:val="center"/>
        <w:rPr>
          <w:sz w:val="20"/>
          <w:szCs w:val="20"/>
        </w:rPr>
      </w:pPr>
      <w:r>
        <w:rPr>
          <w:noProof/>
          <w:sz w:val="20"/>
          <w:szCs w:val="20"/>
        </w:rPr>
        <w:lastRenderedPageBreak/>
        <w:drawing>
          <wp:inline distT="0" distB="0" distL="0" distR="0" wp14:anchorId="7C7A8046" wp14:editId="0297EBBA">
            <wp:extent cx="4285615" cy="2195830"/>
            <wp:effectExtent l="0" t="0" r="635" b="0"/>
            <wp:docPr id="3" name="图片 3" descr="C:\Users\蒋欢欢\AppData\Local\Temp\ksohtml11512\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蒋欢欢\AppData\Local\Temp\ksohtml11512\wps1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285986" cy="2196000"/>
                    </a:xfrm>
                    <a:prstGeom prst="rect">
                      <a:avLst/>
                    </a:prstGeom>
                    <a:noFill/>
                    <a:ln>
                      <a:noFill/>
                    </a:ln>
                  </pic:spPr>
                </pic:pic>
              </a:graphicData>
            </a:graphic>
          </wp:inline>
        </w:drawing>
      </w:r>
      <w:r>
        <w:rPr>
          <w:sz w:val="20"/>
          <w:szCs w:val="20"/>
        </w:rPr>
        <w:t xml:space="preserve"> </w:t>
      </w:r>
    </w:p>
    <w:p w:rsidR="006C4688" w:rsidRDefault="00F0589B" w:rsidP="006C4688">
      <w:pPr>
        <w:pStyle w:val="Maintext"/>
        <w:spacing w:line="360" w:lineRule="auto"/>
        <w:jc w:val="both"/>
        <w:rPr>
          <w:iCs/>
          <w:sz w:val="20"/>
          <w:szCs w:val="20"/>
        </w:rPr>
      </w:pPr>
      <w:proofErr w:type="gramStart"/>
      <w:r>
        <w:rPr>
          <w:b/>
          <w:bCs/>
          <w:iCs/>
          <w:sz w:val="20"/>
          <w:szCs w:val="20"/>
        </w:rPr>
        <w:t>Fig.</w:t>
      </w:r>
      <w:proofErr w:type="gramEnd"/>
      <w:r w:rsidR="006C4688">
        <w:rPr>
          <w:b/>
          <w:bCs/>
          <w:iCs/>
          <w:sz w:val="20"/>
          <w:szCs w:val="20"/>
        </w:rPr>
        <w:t xml:space="preserve"> S7.</w:t>
      </w:r>
      <w:r w:rsidR="006C4688">
        <w:rPr>
          <w:iCs/>
          <w:sz w:val="20"/>
          <w:szCs w:val="20"/>
        </w:rPr>
        <w:t xml:space="preserve"> Intermolecular hydrogen bonding contributes positively to the polarization.</w:t>
      </w:r>
    </w:p>
    <w:p w:rsidR="006C4688" w:rsidRDefault="006C4688" w:rsidP="006C4688">
      <w:pPr>
        <w:pStyle w:val="Maintext"/>
        <w:spacing w:line="360" w:lineRule="auto"/>
        <w:jc w:val="both"/>
        <w:rPr>
          <w:iCs/>
          <w:sz w:val="20"/>
          <w:szCs w:val="20"/>
        </w:rPr>
      </w:pPr>
      <w:r>
        <w:rPr>
          <w:iCs/>
          <w:sz w:val="20"/>
          <w:szCs w:val="20"/>
        </w:rPr>
        <w:t xml:space="preserve"> </w:t>
      </w:r>
    </w:p>
    <w:p w:rsidR="006C4688" w:rsidRDefault="006C4688" w:rsidP="006C4688">
      <w:pPr>
        <w:pStyle w:val="Maintext"/>
        <w:spacing w:line="360" w:lineRule="auto"/>
        <w:jc w:val="center"/>
        <w:rPr>
          <w:sz w:val="20"/>
          <w:szCs w:val="20"/>
        </w:rPr>
      </w:pPr>
      <w:r>
        <w:rPr>
          <w:noProof/>
          <w:sz w:val="20"/>
          <w:szCs w:val="20"/>
        </w:rPr>
        <w:drawing>
          <wp:inline distT="0" distB="0" distL="0" distR="0" wp14:anchorId="6DFFF50F" wp14:editId="0F6941C7">
            <wp:extent cx="3962400" cy="2476500"/>
            <wp:effectExtent l="0" t="0" r="0" b="0"/>
            <wp:docPr id="2" name="图片 2" descr="C:\Users\蒋欢欢\AppData\Local\Temp\ksohtml11512\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蒋欢欢\AppData\Local\Temp\ksohtml11512\wps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962400" cy="2476500"/>
                    </a:xfrm>
                    <a:prstGeom prst="rect">
                      <a:avLst/>
                    </a:prstGeom>
                    <a:noFill/>
                    <a:ln>
                      <a:noFill/>
                    </a:ln>
                  </pic:spPr>
                </pic:pic>
              </a:graphicData>
            </a:graphic>
          </wp:inline>
        </w:drawing>
      </w:r>
      <w:r>
        <w:rPr>
          <w:sz w:val="20"/>
          <w:szCs w:val="20"/>
        </w:rPr>
        <w:t xml:space="preserve"> </w:t>
      </w:r>
    </w:p>
    <w:p w:rsidR="006C4688" w:rsidRDefault="00F0589B" w:rsidP="006C4688">
      <w:pPr>
        <w:pStyle w:val="Maintext"/>
        <w:spacing w:line="360" w:lineRule="auto"/>
        <w:jc w:val="both"/>
        <w:rPr>
          <w:sz w:val="20"/>
          <w:szCs w:val="20"/>
        </w:rPr>
      </w:pPr>
      <w:proofErr w:type="gramStart"/>
      <w:r>
        <w:rPr>
          <w:b/>
          <w:bCs/>
          <w:sz w:val="20"/>
          <w:szCs w:val="20"/>
        </w:rPr>
        <w:t>Fig.</w:t>
      </w:r>
      <w:proofErr w:type="gramEnd"/>
      <w:r w:rsidR="006C4688">
        <w:rPr>
          <w:b/>
          <w:bCs/>
          <w:sz w:val="20"/>
          <w:szCs w:val="20"/>
        </w:rPr>
        <w:t xml:space="preserve"> S8.</w:t>
      </w:r>
      <w:r w:rsidR="006C4688">
        <w:rPr>
          <w:sz w:val="20"/>
          <w:szCs w:val="20"/>
        </w:rPr>
        <w:t xml:space="preserve"> </w:t>
      </w:r>
      <w:r w:rsidR="006C4688">
        <w:rPr>
          <w:bCs/>
          <w:sz w:val="20"/>
          <w:szCs w:val="20"/>
        </w:rPr>
        <w:t>PFM measurements on the 17β-TCA thin films.</w:t>
      </w:r>
      <w:r w:rsidR="006C4688">
        <w:rPr>
          <w:sz w:val="20"/>
          <w:szCs w:val="20"/>
        </w:rPr>
        <w:t xml:space="preserve"> Lateral a) PFM amplitude and b) phase images, c) corresponding topographic image. PFM d) amplitude and e) phase switching hysteresis loops.</w:t>
      </w:r>
    </w:p>
    <w:p w:rsidR="006C4688" w:rsidRDefault="006C4688" w:rsidP="006C4688">
      <w:pPr>
        <w:pStyle w:val="Maintext"/>
        <w:spacing w:line="360" w:lineRule="auto"/>
        <w:jc w:val="both"/>
        <w:rPr>
          <w:sz w:val="20"/>
          <w:szCs w:val="20"/>
        </w:rPr>
      </w:pPr>
      <w:r>
        <w:rPr>
          <w:sz w:val="20"/>
          <w:szCs w:val="20"/>
        </w:rPr>
        <w:t xml:space="preserve"> </w:t>
      </w:r>
    </w:p>
    <w:p w:rsidR="006C4688" w:rsidRDefault="006C4688" w:rsidP="006C4688">
      <w:pPr>
        <w:pStyle w:val="Maintext"/>
        <w:spacing w:line="360" w:lineRule="auto"/>
        <w:jc w:val="center"/>
        <w:rPr>
          <w:iCs/>
          <w:sz w:val="20"/>
          <w:szCs w:val="20"/>
        </w:rPr>
      </w:pPr>
      <w:r>
        <w:rPr>
          <w:noProof/>
          <w:sz w:val="20"/>
          <w:szCs w:val="20"/>
        </w:rPr>
        <w:drawing>
          <wp:inline distT="0" distB="0" distL="0" distR="0" wp14:anchorId="0211E694" wp14:editId="03C75F36">
            <wp:extent cx="5257800" cy="1447800"/>
            <wp:effectExtent l="0" t="0" r="0" b="0"/>
            <wp:docPr id="1" name="图片 1" descr="C:\Users\蒋欢欢\AppData\Local\Temp\ksohtml11512\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蒋欢欢\AppData\Local\Temp\ksohtml11512\wps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57800" cy="1447800"/>
                    </a:xfrm>
                    <a:prstGeom prst="rect">
                      <a:avLst/>
                    </a:prstGeom>
                    <a:noFill/>
                    <a:ln>
                      <a:noFill/>
                    </a:ln>
                  </pic:spPr>
                </pic:pic>
              </a:graphicData>
            </a:graphic>
          </wp:inline>
        </w:drawing>
      </w:r>
      <w:r>
        <w:rPr>
          <w:iCs/>
          <w:sz w:val="20"/>
          <w:szCs w:val="20"/>
        </w:rPr>
        <w:t xml:space="preserve"> </w:t>
      </w:r>
    </w:p>
    <w:p w:rsidR="006C4688" w:rsidRDefault="00F0589B" w:rsidP="006C4688">
      <w:pPr>
        <w:pStyle w:val="Maintext"/>
        <w:spacing w:line="360" w:lineRule="auto"/>
        <w:jc w:val="both"/>
        <w:rPr>
          <w:b/>
          <w:sz w:val="20"/>
          <w:szCs w:val="20"/>
        </w:rPr>
      </w:pPr>
      <w:proofErr w:type="gramStart"/>
      <w:r>
        <w:rPr>
          <w:b/>
          <w:bCs/>
          <w:iCs/>
          <w:sz w:val="20"/>
          <w:szCs w:val="20"/>
        </w:rPr>
        <w:t>Fig.</w:t>
      </w:r>
      <w:proofErr w:type="gramEnd"/>
      <w:r w:rsidR="006C4688">
        <w:rPr>
          <w:b/>
          <w:bCs/>
          <w:iCs/>
          <w:sz w:val="20"/>
          <w:szCs w:val="20"/>
        </w:rPr>
        <w:t xml:space="preserve"> S9.</w:t>
      </w:r>
      <w:r w:rsidR="006C4688">
        <w:rPr>
          <w:iCs/>
          <w:sz w:val="20"/>
          <w:szCs w:val="20"/>
        </w:rPr>
        <w:t xml:space="preserve"> </w:t>
      </w:r>
      <w:proofErr w:type="gramStart"/>
      <w:r w:rsidR="006C4688">
        <w:rPr>
          <w:iCs/>
          <w:sz w:val="20"/>
          <w:szCs w:val="20"/>
        </w:rPr>
        <w:t>Measured amplitude and phase signals versus excitation frequency in vertical PFM mode for a) 17β-TCA thin film and b) PVDF film.</w:t>
      </w:r>
      <w:proofErr w:type="gramEnd"/>
      <w:r w:rsidR="006C4688">
        <w:rPr>
          <w:iCs/>
          <w:sz w:val="20"/>
          <w:szCs w:val="20"/>
        </w:rPr>
        <w:t xml:space="preserve"> Here, the magnitude of the amplitude has been calibrated by </w:t>
      </w:r>
      <w:r w:rsidR="006C4688">
        <w:rPr>
          <w:iCs/>
          <w:sz w:val="20"/>
          <w:szCs w:val="20"/>
        </w:rPr>
        <w:lastRenderedPageBreak/>
        <w:t>dividing the Q factor to get the effective amplitude. c) First harmonic response as a function of drive voltage for 17β-TCA thin film and PVDF film.</w:t>
      </w:r>
      <w:r w:rsidR="006C4688">
        <w:rPr>
          <w:b/>
          <w:sz w:val="20"/>
          <w:szCs w:val="20"/>
        </w:rPr>
        <w:br w:type="page"/>
      </w:r>
    </w:p>
    <w:p w:rsidR="006C4688" w:rsidRDefault="006C4688" w:rsidP="006C4688">
      <w:pPr>
        <w:pStyle w:val="Maintext"/>
        <w:spacing w:line="360" w:lineRule="auto"/>
        <w:jc w:val="both"/>
        <w:rPr>
          <w:sz w:val="20"/>
          <w:szCs w:val="20"/>
        </w:rPr>
      </w:pPr>
      <w:r>
        <w:rPr>
          <w:b/>
          <w:sz w:val="20"/>
          <w:szCs w:val="20"/>
        </w:rPr>
        <w:lastRenderedPageBreak/>
        <w:t>Table S1.</w:t>
      </w:r>
      <w:r>
        <w:rPr>
          <w:sz w:val="20"/>
          <w:szCs w:val="20"/>
        </w:rPr>
        <w:t xml:space="preserve"> Crystal data and structure refinement for</w:t>
      </w:r>
      <w:r>
        <w:rPr>
          <w:bCs/>
          <w:sz w:val="20"/>
          <w:szCs w:val="20"/>
        </w:rPr>
        <w:t xml:space="preserve"> progesterone at 93 K, and </w:t>
      </w:r>
      <w:r>
        <w:rPr>
          <w:sz w:val="20"/>
          <w:szCs w:val="20"/>
        </w:rPr>
        <w:t>17β-TCA at 100 K</w:t>
      </w:r>
      <w:r>
        <w:rPr>
          <w:bCs/>
          <w:sz w:val="20"/>
          <w:szCs w:val="20"/>
        </w:rPr>
        <w:t>, 293 K and 423 K, respectively.</w:t>
      </w:r>
    </w:p>
    <w:tbl>
      <w:tblPr>
        <w:tblW w:w="5000" w:type="pct"/>
        <w:jc w:val="center"/>
        <w:tblBorders>
          <w:top w:val="single" w:sz="8" w:space="0" w:color="auto"/>
          <w:bottom w:val="single" w:sz="8" w:space="0" w:color="auto"/>
        </w:tblBorders>
        <w:tblLook w:val="04A0" w:firstRow="1" w:lastRow="0" w:firstColumn="1" w:lastColumn="0" w:noHBand="0" w:noVBand="1"/>
      </w:tblPr>
      <w:tblGrid>
        <w:gridCol w:w="1707"/>
        <w:gridCol w:w="1704"/>
        <w:gridCol w:w="1704"/>
        <w:gridCol w:w="1704"/>
        <w:gridCol w:w="1703"/>
      </w:tblGrid>
      <w:tr w:rsidR="006C4688" w:rsidTr="00AC1B60">
        <w:trPr>
          <w:jc w:val="center"/>
        </w:trPr>
        <w:tc>
          <w:tcPr>
            <w:tcW w:w="1001" w:type="pct"/>
            <w:tcBorders>
              <w:top w:val="single" w:sz="12" w:space="0" w:color="auto"/>
              <w:left w:val="nil"/>
              <w:bottom w:val="single" w:sz="12" w:space="0" w:color="auto"/>
              <w:right w:val="nil"/>
            </w:tcBorders>
            <w:vAlign w:val="center"/>
          </w:tcPr>
          <w:p w:rsidR="006C4688" w:rsidRDefault="006C4688" w:rsidP="00AC1B60">
            <w:pPr>
              <w:pStyle w:val="Maintext"/>
              <w:spacing w:line="360" w:lineRule="auto"/>
              <w:jc w:val="both"/>
              <w:rPr>
                <w:kern w:val="2"/>
                <w:sz w:val="20"/>
                <w:szCs w:val="20"/>
              </w:rPr>
            </w:pPr>
            <w:r>
              <w:rPr>
                <w:b/>
                <w:bCs/>
                <w:kern w:val="2"/>
                <w:sz w:val="20"/>
                <w:szCs w:val="20"/>
              </w:rPr>
              <w:t>Compound</w:t>
            </w:r>
          </w:p>
        </w:tc>
        <w:tc>
          <w:tcPr>
            <w:tcW w:w="1000" w:type="pct"/>
            <w:tcBorders>
              <w:top w:val="single" w:sz="12" w:space="0" w:color="auto"/>
              <w:left w:val="nil"/>
              <w:bottom w:val="single" w:sz="12" w:space="0" w:color="auto"/>
              <w:right w:val="nil"/>
            </w:tcBorders>
            <w:vAlign w:val="center"/>
          </w:tcPr>
          <w:p w:rsidR="006C4688" w:rsidRDefault="006C4688" w:rsidP="00AC1B60">
            <w:pPr>
              <w:pStyle w:val="Maintext"/>
              <w:spacing w:line="360" w:lineRule="auto"/>
              <w:jc w:val="both"/>
              <w:rPr>
                <w:bCs/>
                <w:i/>
                <w:iCs/>
                <w:kern w:val="2"/>
                <w:sz w:val="20"/>
                <w:szCs w:val="20"/>
              </w:rPr>
            </w:pPr>
            <w:r>
              <w:rPr>
                <w:kern w:val="2"/>
                <w:sz w:val="20"/>
                <w:szCs w:val="20"/>
              </w:rPr>
              <w:t>progesterone</w:t>
            </w:r>
          </w:p>
        </w:tc>
        <w:tc>
          <w:tcPr>
            <w:tcW w:w="2999" w:type="pct"/>
            <w:gridSpan w:val="3"/>
            <w:tcBorders>
              <w:top w:val="single" w:sz="12" w:space="0" w:color="auto"/>
              <w:left w:val="nil"/>
              <w:bottom w:val="single" w:sz="12" w:space="0" w:color="auto"/>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17β-TCA</w:t>
            </w:r>
          </w:p>
        </w:tc>
      </w:tr>
      <w:tr w:rsidR="006C4688" w:rsidTr="00AC1B60">
        <w:trPr>
          <w:jc w:val="center"/>
        </w:trPr>
        <w:tc>
          <w:tcPr>
            <w:tcW w:w="1001" w:type="pct"/>
            <w:tcBorders>
              <w:top w:val="single" w:sz="12" w:space="0" w:color="auto"/>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Temperature</w:t>
            </w:r>
          </w:p>
        </w:tc>
        <w:tc>
          <w:tcPr>
            <w:tcW w:w="1000" w:type="pct"/>
            <w:tcBorders>
              <w:top w:val="single" w:sz="12" w:space="0" w:color="auto"/>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93 K</w:t>
            </w:r>
          </w:p>
        </w:tc>
        <w:tc>
          <w:tcPr>
            <w:tcW w:w="1000" w:type="pct"/>
            <w:tcBorders>
              <w:top w:val="single" w:sz="12" w:space="0" w:color="auto"/>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100 K</w:t>
            </w:r>
          </w:p>
        </w:tc>
        <w:tc>
          <w:tcPr>
            <w:tcW w:w="1000" w:type="pct"/>
            <w:tcBorders>
              <w:top w:val="single" w:sz="12" w:space="0" w:color="auto"/>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293 K</w:t>
            </w:r>
          </w:p>
        </w:tc>
        <w:tc>
          <w:tcPr>
            <w:tcW w:w="999" w:type="pct"/>
            <w:tcBorders>
              <w:top w:val="single" w:sz="12" w:space="0" w:color="auto"/>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423 K</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Formula</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C</w:t>
            </w:r>
            <w:r>
              <w:rPr>
                <w:kern w:val="2"/>
                <w:sz w:val="20"/>
                <w:szCs w:val="20"/>
                <w:vertAlign w:val="subscript"/>
              </w:rPr>
              <w:t>21</w:t>
            </w:r>
            <w:r>
              <w:rPr>
                <w:kern w:val="2"/>
                <w:sz w:val="20"/>
                <w:szCs w:val="20"/>
              </w:rPr>
              <w:t>H</w:t>
            </w:r>
            <w:r>
              <w:rPr>
                <w:kern w:val="2"/>
                <w:sz w:val="20"/>
                <w:szCs w:val="20"/>
                <w:vertAlign w:val="subscript"/>
              </w:rPr>
              <w:t>30</w:t>
            </w:r>
            <w:r>
              <w:rPr>
                <w:kern w:val="2"/>
                <w:sz w:val="20"/>
                <w:szCs w:val="20"/>
              </w:rPr>
              <w:t>O</w:t>
            </w:r>
            <w:r>
              <w:rPr>
                <w:kern w:val="2"/>
                <w:sz w:val="20"/>
                <w:szCs w:val="20"/>
                <w:vertAlign w:val="subscript"/>
              </w:rPr>
              <w:t>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C</w:t>
            </w:r>
            <w:r>
              <w:rPr>
                <w:kern w:val="2"/>
                <w:sz w:val="20"/>
                <w:szCs w:val="20"/>
                <w:vertAlign w:val="subscript"/>
              </w:rPr>
              <w:t>20</w:t>
            </w:r>
            <w:r>
              <w:rPr>
                <w:kern w:val="2"/>
                <w:sz w:val="20"/>
                <w:szCs w:val="20"/>
              </w:rPr>
              <w:t>H</w:t>
            </w:r>
            <w:r>
              <w:rPr>
                <w:kern w:val="2"/>
                <w:sz w:val="20"/>
                <w:szCs w:val="20"/>
                <w:vertAlign w:val="subscript"/>
              </w:rPr>
              <w:t>28</w:t>
            </w:r>
            <w:r>
              <w:rPr>
                <w:kern w:val="2"/>
                <w:sz w:val="20"/>
                <w:szCs w:val="20"/>
              </w:rPr>
              <w:t>O</w:t>
            </w:r>
            <w:r>
              <w:rPr>
                <w:kern w:val="2"/>
                <w:sz w:val="20"/>
                <w:szCs w:val="20"/>
                <w:vertAlign w:val="subscript"/>
              </w:rPr>
              <w:t>3</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C</w:t>
            </w:r>
            <w:r>
              <w:rPr>
                <w:kern w:val="2"/>
                <w:sz w:val="20"/>
                <w:szCs w:val="20"/>
                <w:vertAlign w:val="subscript"/>
              </w:rPr>
              <w:t>20</w:t>
            </w:r>
            <w:r>
              <w:rPr>
                <w:kern w:val="2"/>
                <w:sz w:val="20"/>
                <w:szCs w:val="20"/>
              </w:rPr>
              <w:t>H</w:t>
            </w:r>
            <w:r>
              <w:rPr>
                <w:kern w:val="2"/>
                <w:sz w:val="20"/>
                <w:szCs w:val="20"/>
                <w:vertAlign w:val="subscript"/>
              </w:rPr>
              <w:t>28</w:t>
            </w:r>
            <w:r>
              <w:rPr>
                <w:kern w:val="2"/>
                <w:sz w:val="20"/>
                <w:szCs w:val="20"/>
              </w:rPr>
              <w:t>O</w:t>
            </w:r>
            <w:r>
              <w:rPr>
                <w:kern w:val="2"/>
                <w:sz w:val="20"/>
                <w:szCs w:val="20"/>
                <w:vertAlign w:val="subscript"/>
              </w:rPr>
              <w:t>3</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C</w:t>
            </w:r>
            <w:r>
              <w:rPr>
                <w:kern w:val="2"/>
                <w:sz w:val="20"/>
                <w:szCs w:val="20"/>
                <w:vertAlign w:val="subscript"/>
              </w:rPr>
              <w:t>20</w:t>
            </w:r>
            <w:r>
              <w:rPr>
                <w:kern w:val="2"/>
                <w:sz w:val="20"/>
                <w:szCs w:val="20"/>
              </w:rPr>
              <w:t>H</w:t>
            </w:r>
            <w:r>
              <w:rPr>
                <w:kern w:val="2"/>
                <w:sz w:val="20"/>
                <w:szCs w:val="20"/>
                <w:vertAlign w:val="subscript"/>
              </w:rPr>
              <w:t>28</w:t>
            </w:r>
            <w:r>
              <w:rPr>
                <w:kern w:val="2"/>
                <w:sz w:val="20"/>
                <w:szCs w:val="20"/>
              </w:rPr>
              <w:t>O</w:t>
            </w:r>
            <w:r>
              <w:rPr>
                <w:kern w:val="2"/>
                <w:sz w:val="20"/>
                <w:szCs w:val="20"/>
                <w:vertAlign w:val="subscript"/>
              </w:rPr>
              <w:t>3</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Weight</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314.45</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316.42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316.42</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316.42</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System</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i/>
                <w:iCs/>
                <w:kern w:val="2"/>
                <w:sz w:val="20"/>
                <w:szCs w:val="20"/>
              </w:rPr>
            </w:pPr>
            <w:r>
              <w:rPr>
                <w:bCs/>
                <w:kern w:val="2"/>
                <w:sz w:val="20"/>
                <w:szCs w:val="20"/>
              </w:rPr>
              <w:t>orthorhombic</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monoclinic</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monoclinic</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monoclinic</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Space group</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i/>
                <w:iCs/>
                <w:kern w:val="2"/>
                <w:sz w:val="20"/>
                <w:szCs w:val="20"/>
              </w:rPr>
              <w:t>P</w:t>
            </w:r>
            <w:r>
              <w:rPr>
                <w:kern w:val="2"/>
                <w:sz w:val="20"/>
                <w:szCs w:val="20"/>
              </w:rPr>
              <w:t>2</w:t>
            </w:r>
            <w:r>
              <w:rPr>
                <w:kern w:val="2"/>
                <w:sz w:val="20"/>
                <w:szCs w:val="20"/>
                <w:vertAlign w:val="subscript"/>
              </w:rPr>
              <w:t>1</w:t>
            </w:r>
            <w:r>
              <w:rPr>
                <w:kern w:val="2"/>
                <w:sz w:val="20"/>
                <w:szCs w:val="20"/>
              </w:rPr>
              <w:t>2</w:t>
            </w:r>
            <w:r>
              <w:rPr>
                <w:kern w:val="2"/>
                <w:sz w:val="20"/>
                <w:szCs w:val="20"/>
                <w:vertAlign w:val="subscript"/>
              </w:rPr>
              <w:t>1</w:t>
            </w:r>
            <w:r>
              <w:rPr>
                <w:kern w:val="2"/>
                <w:sz w:val="20"/>
                <w:szCs w:val="20"/>
              </w:rPr>
              <w:t>2</w:t>
            </w:r>
            <w:r>
              <w:rPr>
                <w:kern w:val="2"/>
                <w:sz w:val="20"/>
                <w:szCs w:val="20"/>
                <w:vertAlign w:val="subscript"/>
              </w:rPr>
              <w:t>1</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i/>
                <w:iCs/>
                <w:kern w:val="2"/>
                <w:sz w:val="20"/>
                <w:szCs w:val="20"/>
              </w:rPr>
              <w:t>P</w:t>
            </w:r>
            <w:r>
              <w:rPr>
                <w:kern w:val="2"/>
                <w:sz w:val="20"/>
                <w:szCs w:val="20"/>
              </w:rPr>
              <w:t>2</w:t>
            </w:r>
            <w:r>
              <w:rPr>
                <w:kern w:val="2"/>
                <w:sz w:val="20"/>
                <w:szCs w:val="20"/>
                <w:vertAlign w:val="subscript"/>
              </w:rPr>
              <w:t>1</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i/>
                <w:iCs/>
                <w:kern w:val="2"/>
                <w:sz w:val="20"/>
                <w:szCs w:val="20"/>
              </w:rPr>
              <w:t>P</w:t>
            </w:r>
            <w:r>
              <w:rPr>
                <w:kern w:val="2"/>
                <w:sz w:val="20"/>
                <w:szCs w:val="20"/>
              </w:rPr>
              <w:t>2</w:t>
            </w:r>
            <w:r>
              <w:rPr>
                <w:kern w:val="2"/>
                <w:sz w:val="20"/>
                <w:szCs w:val="20"/>
                <w:vertAlign w:val="subscript"/>
              </w:rPr>
              <w:t>1</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i/>
                <w:iCs/>
                <w:kern w:val="2"/>
                <w:sz w:val="20"/>
                <w:szCs w:val="20"/>
              </w:rPr>
              <w:t>P</w:t>
            </w:r>
            <w:r>
              <w:rPr>
                <w:kern w:val="2"/>
                <w:sz w:val="20"/>
                <w:szCs w:val="20"/>
              </w:rPr>
              <w:t>2</w:t>
            </w:r>
            <w:r>
              <w:rPr>
                <w:kern w:val="2"/>
                <w:sz w:val="20"/>
                <w:szCs w:val="20"/>
                <w:vertAlign w:val="subscript"/>
              </w:rPr>
              <w:t>1</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bCs/>
                <w:kern w:val="2"/>
                <w:sz w:val="20"/>
                <w:szCs w:val="20"/>
              </w:rPr>
            </w:pPr>
            <w:r>
              <w:rPr>
                <w:bCs/>
                <w:i/>
                <w:kern w:val="2"/>
                <w:sz w:val="20"/>
                <w:szCs w:val="20"/>
              </w:rPr>
              <w:t>a</w:t>
            </w:r>
            <w:r>
              <w:rPr>
                <w:bCs/>
                <w:kern w:val="2"/>
                <w:sz w:val="20"/>
                <w:szCs w:val="20"/>
              </w:rPr>
              <w:t xml:space="preserve"> (Å)</w:t>
            </w:r>
          </w:p>
          <w:p w:rsidR="006C4688" w:rsidRDefault="006C4688" w:rsidP="00AC1B60">
            <w:pPr>
              <w:pStyle w:val="Maintext"/>
              <w:spacing w:line="360" w:lineRule="auto"/>
              <w:jc w:val="both"/>
              <w:rPr>
                <w:bCs/>
                <w:kern w:val="2"/>
                <w:sz w:val="20"/>
                <w:szCs w:val="20"/>
              </w:rPr>
            </w:pPr>
            <w:r>
              <w:rPr>
                <w:bCs/>
                <w:i/>
                <w:kern w:val="2"/>
                <w:sz w:val="20"/>
                <w:szCs w:val="20"/>
              </w:rPr>
              <w:t xml:space="preserve">b </w:t>
            </w:r>
            <w:r>
              <w:rPr>
                <w:bCs/>
                <w:kern w:val="2"/>
                <w:sz w:val="20"/>
                <w:szCs w:val="20"/>
              </w:rPr>
              <w:t>(Å)</w:t>
            </w:r>
          </w:p>
          <w:p w:rsidR="006C4688" w:rsidRDefault="006C4688" w:rsidP="00AC1B60">
            <w:pPr>
              <w:pStyle w:val="Maintext"/>
              <w:spacing w:line="360" w:lineRule="auto"/>
              <w:jc w:val="both"/>
              <w:rPr>
                <w:kern w:val="2"/>
                <w:sz w:val="20"/>
                <w:szCs w:val="20"/>
              </w:rPr>
            </w:pPr>
            <w:r>
              <w:rPr>
                <w:bCs/>
                <w:i/>
                <w:kern w:val="2"/>
                <w:sz w:val="20"/>
                <w:szCs w:val="20"/>
              </w:rPr>
              <w:t xml:space="preserve">c </w:t>
            </w:r>
            <w:r>
              <w:rPr>
                <w:bCs/>
                <w:kern w:val="2"/>
                <w:sz w:val="20"/>
                <w:szCs w:val="20"/>
              </w:rPr>
              <w:t>(Å)</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10.2362(2)</w:t>
            </w:r>
          </w:p>
          <w:p w:rsidR="006C4688" w:rsidRDefault="006C4688" w:rsidP="00AC1B60">
            <w:pPr>
              <w:pStyle w:val="Maintext"/>
              <w:spacing w:line="360" w:lineRule="auto"/>
              <w:jc w:val="both"/>
              <w:rPr>
                <w:kern w:val="2"/>
                <w:sz w:val="20"/>
                <w:szCs w:val="20"/>
              </w:rPr>
            </w:pPr>
            <w:r>
              <w:rPr>
                <w:kern w:val="2"/>
                <w:sz w:val="20"/>
                <w:szCs w:val="20"/>
              </w:rPr>
              <w:t>12.4735(3)</w:t>
            </w:r>
          </w:p>
          <w:p w:rsidR="006C4688" w:rsidRDefault="006C4688" w:rsidP="00AC1B60">
            <w:pPr>
              <w:pStyle w:val="Maintext"/>
              <w:spacing w:line="360" w:lineRule="auto"/>
              <w:jc w:val="both"/>
              <w:rPr>
                <w:kern w:val="2"/>
                <w:sz w:val="20"/>
                <w:szCs w:val="20"/>
              </w:rPr>
            </w:pPr>
            <w:r>
              <w:rPr>
                <w:kern w:val="2"/>
                <w:sz w:val="20"/>
                <w:szCs w:val="20"/>
              </w:rPr>
              <w:t>13.6126(3)</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6.95100(10)</w:t>
            </w:r>
          </w:p>
          <w:p w:rsidR="006C4688" w:rsidRDefault="006C4688" w:rsidP="00AC1B60">
            <w:pPr>
              <w:pStyle w:val="Maintext"/>
              <w:spacing w:line="360" w:lineRule="auto"/>
              <w:jc w:val="both"/>
              <w:rPr>
                <w:bCs/>
                <w:kern w:val="2"/>
                <w:sz w:val="20"/>
                <w:szCs w:val="20"/>
              </w:rPr>
            </w:pPr>
            <w:r>
              <w:rPr>
                <w:bCs/>
                <w:kern w:val="2"/>
                <w:sz w:val="20"/>
                <w:szCs w:val="20"/>
              </w:rPr>
              <w:t>11.2265(2)</w:t>
            </w:r>
          </w:p>
          <w:p w:rsidR="006C4688" w:rsidRDefault="006C4688" w:rsidP="00AC1B60">
            <w:pPr>
              <w:pStyle w:val="Maintext"/>
              <w:spacing w:line="360" w:lineRule="auto"/>
              <w:jc w:val="both"/>
              <w:rPr>
                <w:kern w:val="2"/>
                <w:sz w:val="20"/>
                <w:szCs w:val="20"/>
              </w:rPr>
            </w:pPr>
            <w:r>
              <w:rPr>
                <w:kern w:val="2"/>
                <w:sz w:val="20"/>
                <w:szCs w:val="20"/>
              </w:rPr>
              <w:t>11.3349(2)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6.98120(10)</w:t>
            </w:r>
          </w:p>
          <w:p w:rsidR="006C4688" w:rsidRDefault="006C4688" w:rsidP="00AC1B60">
            <w:pPr>
              <w:pStyle w:val="Maintext"/>
              <w:spacing w:line="360" w:lineRule="auto"/>
              <w:jc w:val="both"/>
              <w:rPr>
                <w:kern w:val="2"/>
                <w:sz w:val="20"/>
                <w:szCs w:val="20"/>
              </w:rPr>
            </w:pPr>
            <w:r>
              <w:rPr>
                <w:kern w:val="2"/>
                <w:sz w:val="20"/>
                <w:szCs w:val="20"/>
              </w:rPr>
              <w:t>11.2441(2)</w:t>
            </w:r>
          </w:p>
          <w:p w:rsidR="006C4688" w:rsidRDefault="006C4688" w:rsidP="00AC1B60">
            <w:pPr>
              <w:pStyle w:val="Maintext"/>
              <w:spacing w:line="360" w:lineRule="auto"/>
              <w:jc w:val="both"/>
              <w:rPr>
                <w:kern w:val="2"/>
                <w:sz w:val="20"/>
                <w:szCs w:val="20"/>
              </w:rPr>
            </w:pPr>
            <w:r>
              <w:rPr>
                <w:kern w:val="2"/>
                <w:sz w:val="20"/>
                <w:szCs w:val="20"/>
              </w:rPr>
              <w:t>11.4552(2)</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bCs/>
                <w:kern w:val="2"/>
                <w:sz w:val="20"/>
                <w:szCs w:val="20"/>
              </w:rPr>
            </w:pPr>
            <w:r>
              <w:rPr>
                <w:bCs/>
                <w:kern w:val="2"/>
                <w:sz w:val="20"/>
                <w:szCs w:val="20"/>
              </w:rPr>
              <w:t>7.0181(2)</w:t>
            </w:r>
          </w:p>
          <w:p w:rsidR="006C4688" w:rsidRDefault="006C4688" w:rsidP="00AC1B60">
            <w:pPr>
              <w:pStyle w:val="Maintext"/>
              <w:spacing w:line="360" w:lineRule="auto"/>
              <w:jc w:val="both"/>
              <w:rPr>
                <w:bCs/>
                <w:kern w:val="2"/>
                <w:sz w:val="20"/>
                <w:szCs w:val="20"/>
              </w:rPr>
            </w:pPr>
            <w:r>
              <w:rPr>
                <w:bCs/>
                <w:kern w:val="2"/>
                <w:sz w:val="20"/>
                <w:szCs w:val="20"/>
              </w:rPr>
              <w:t>11.2590(3)</w:t>
            </w:r>
          </w:p>
          <w:p w:rsidR="006C4688" w:rsidRDefault="006C4688" w:rsidP="00AC1B60">
            <w:pPr>
              <w:pStyle w:val="Maintext"/>
              <w:spacing w:line="360" w:lineRule="auto"/>
              <w:jc w:val="both"/>
              <w:rPr>
                <w:kern w:val="2"/>
                <w:sz w:val="20"/>
                <w:szCs w:val="20"/>
              </w:rPr>
            </w:pPr>
            <w:r>
              <w:rPr>
                <w:bCs/>
                <w:kern w:val="2"/>
                <w:sz w:val="20"/>
                <w:szCs w:val="20"/>
              </w:rPr>
              <w:t>11.5917(3)</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i/>
                <w:kern w:val="2"/>
                <w:sz w:val="20"/>
                <w:szCs w:val="20"/>
              </w:rPr>
              <w:t xml:space="preserve">β </w:t>
            </w:r>
            <w:r>
              <w:rPr>
                <w:bCs/>
                <w:kern w:val="2"/>
                <w:sz w:val="20"/>
                <w:szCs w:val="20"/>
              </w:rPr>
              <w:t>(</w:t>
            </w:r>
            <w:r>
              <w:rPr>
                <w:bCs/>
                <w:kern w:val="2"/>
                <w:sz w:val="20"/>
                <w:szCs w:val="20"/>
                <w:vertAlign w:val="superscript"/>
              </w:rPr>
              <w:t>o</w:t>
            </w:r>
            <w:r>
              <w:rPr>
                <w:bCs/>
                <w:kern w:val="2"/>
                <w:sz w:val="20"/>
                <w:szCs w:val="20"/>
              </w:rPr>
              <w:t>)</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90</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102.863(2)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102.088(2)</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101.242(2)</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i/>
                <w:iCs/>
                <w:kern w:val="2"/>
                <w:sz w:val="20"/>
                <w:szCs w:val="20"/>
              </w:rPr>
              <w:t>V</w:t>
            </w:r>
            <w:r>
              <w:rPr>
                <w:bCs/>
                <w:iCs/>
                <w:kern w:val="2"/>
                <w:sz w:val="20"/>
                <w:szCs w:val="20"/>
              </w:rPr>
              <w:t xml:space="preserve"> (Å</w:t>
            </w:r>
            <w:r>
              <w:rPr>
                <w:bCs/>
                <w:iCs/>
                <w:kern w:val="2"/>
                <w:sz w:val="20"/>
                <w:szCs w:val="20"/>
                <w:vertAlign w:val="superscript"/>
              </w:rPr>
              <w:t>3</w:t>
            </w:r>
            <w:r>
              <w:rPr>
                <w:bCs/>
                <w:iCs/>
                <w:kern w:val="2"/>
                <w:sz w:val="20"/>
                <w:szCs w:val="20"/>
              </w:rPr>
              <w:t>)</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1738.07(7)</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862.33(3)</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879.26(3)</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898.36(4)</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i/>
                <w:iCs/>
                <w:kern w:val="2"/>
                <w:sz w:val="20"/>
                <w:szCs w:val="20"/>
              </w:rPr>
              <w:t>Z</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4</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2</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bCs/>
                <w:kern w:val="2"/>
                <w:sz w:val="20"/>
                <w:szCs w:val="20"/>
              </w:rPr>
              <w:t>2</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proofErr w:type="spellStart"/>
            <w:r>
              <w:rPr>
                <w:bCs/>
                <w:i/>
                <w:iCs/>
                <w:kern w:val="2"/>
                <w:sz w:val="20"/>
                <w:szCs w:val="20"/>
              </w:rPr>
              <w:t>R</w:t>
            </w:r>
            <w:r>
              <w:rPr>
                <w:bCs/>
                <w:iCs/>
                <w:kern w:val="2"/>
                <w:sz w:val="20"/>
                <w:szCs w:val="20"/>
                <w:vertAlign w:val="subscript"/>
              </w:rPr>
              <w:t>int</w:t>
            </w:r>
            <w:proofErr w:type="spellEnd"/>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0.0310</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0.0302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0.0318</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0.0268</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i/>
                <w:iCs/>
                <w:kern w:val="2"/>
                <w:sz w:val="20"/>
                <w:szCs w:val="20"/>
              </w:rPr>
              <w:t>R</w:t>
            </w:r>
            <w:r>
              <w:rPr>
                <w:iCs/>
                <w:kern w:val="2"/>
                <w:sz w:val="20"/>
                <w:szCs w:val="20"/>
                <w:vertAlign w:val="subscript"/>
              </w:rPr>
              <w:t>1</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0.0422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0.0352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0.0374</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0.0424</w:t>
            </w:r>
          </w:p>
        </w:tc>
      </w:tr>
      <w:tr w:rsidR="006C4688" w:rsidTr="00AC1B60">
        <w:trPr>
          <w:jc w:val="center"/>
        </w:trPr>
        <w:tc>
          <w:tcPr>
            <w:tcW w:w="1001" w:type="pct"/>
            <w:tcBorders>
              <w:top w:val="nil"/>
              <w:left w:val="nil"/>
              <w:bottom w:val="nil"/>
              <w:right w:val="nil"/>
            </w:tcBorders>
            <w:vAlign w:val="center"/>
          </w:tcPr>
          <w:p w:rsidR="006C4688" w:rsidRDefault="006C4688" w:rsidP="00AC1B60">
            <w:pPr>
              <w:pStyle w:val="Maintext"/>
              <w:spacing w:line="360" w:lineRule="auto"/>
              <w:jc w:val="both"/>
              <w:rPr>
                <w:i/>
                <w:kern w:val="2"/>
                <w:sz w:val="20"/>
                <w:szCs w:val="20"/>
              </w:rPr>
            </w:pPr>
            <w:r>
              <w:rPr>
                <w:kern w:val="2"/>
                <w:sz w:val="20"/>
                <w:szCs w:val="20"/>
              </w:rPr>
              <w:t>w</w:t>
            </w:r>
            <w:r>
              <w:rPr>
                <w:i/>
                <w:iCs/>
                <w:kern w:val="2"/>
                <w:sz w:val="20"/>
                <w:szCs w:val="20"/>
              </w:rPr>
              <w:t>R</w:t>
            </w:r>
            <w:r>
              <w:rPr>
                <w:kern w:val="2"/>
                <w:sz w:val="20"/>
                <w:szCs w:val="20"/>
                <w:vertAlign w:val="subscript"/>
              </w:rPr>
              <w:t>2</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0.1151</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0.0950</w:t>
            </w:r>
          </w:p>
        </w:tc>
        <w:tc>
          <w:tcPr>
            <w:tcW w:w="1000"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0.1049</w:t>
            </w:r>
          </w:p>
        </w:tc>
        <w:tc>
          <w:tcPr>
            <w:tcW w:w="999" w:type="pct"/>
            <w:tcBorders>
              <w:top w:val="nil"/>
              <w:left w:val="nil"/>
              <w:bottom w:val="nil"/>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0.1258</w:t>
            </w:r>
          </w:p>
        </w:tc>
      </w:tr>
      <w:tr w:rsidR="006C4688" w:rsidTr="00AC1B60">
        <w:trPr>
          <w:jc w:val="center"/>
        </w:trPr>
        <w:tc>
          <w:tcPr>
            <w:tcW w:w="1001" w:type="pct"/>
            <w:tcBorders>
              <w:top w:val="nil"/>
              <w:left w:val="nil"/>
              <w:bottom w:val="single" w:sz="12" w:space="0" w:color="auto"/>
              <w:right w:val="nil"/>
            </w:tcBorders>
            <w:vAlign w:val="center"/>
          </w:tcPr>
          <w:p w:rsidR="006C4688" w:rsidRDefault="006C4688" w:rsidP="00AC1B60">
            <w:pPr>
              <w:pStyle w:val="Maintext"/>
              <w:spacing w:line="360" w:lineRule="auto"/>
              <w:jc w:val="both"/>
              <w:rPr>
                <w:kern w:val="2"/>
                <w:sz w:val="20"/>
                <w:szCs w:val="20"/>
              </w:rPr>
            </w:pPr>
            <w:r>
              <w:rPr>
                <w:iCs/>
                <w:kern w:val="2"/>
                <w:sz w:val="20"/>
                <w:szCs w:val="20"/>
              </w:rPr>
              <w:t>GOF</w:t>
            </w:r>
          </w:p>
        </w:tc>
        <w:tc>
          <w:tcPr>
            <w:tcW w:w="1000" w:type="pct"/>
            <w:tcBorders>
              <w:top w:val="nil"/>
              <w:left w:val="nil"/>
              <w:bottom w:val="single" w:sz="12" w:space="0" w:color="auto"/>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1.040</w:t>
            </w:r>
          </w:p>
        </w:tc>
        <w:tc>
          <w:tcPr>
            <w:tcW w:w="1000" w:type="pct"/>
            <w:tcBorders>
              <w:top w:val="nil"/>
              <w:left w:val="nil"/>
              <w:bottom w:val="single" w:sz="12" w:space="0" w:color="auto"/>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1.045</w:t>
            </w:r>
          </w:p>
        </w:tc>
        <w:tc>
          <w:tcPr>
            <w:tcW w:w="1000" w:type="pct"/>
            <w:tcBorders>
              <w:top w:val="nil"/>
              <w:left w:val="nil"/>
              <w:bottom w:val="single" w:sz="12" w:space="0" w:color="auto"/>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1.077</w:t>
            </w:r>
          </w:p>
        </w:tc>
        <w:tc>
          <w:tcPr>
            <w:tcW w:w="999" w:type="pct"/>
            <w:tcBorders>
              <w:top w:val="nil"/>
              <w:left w:val="nil"/>
              <w:bottom w:val="single" w:sz="12" w:space="0" w:color="auto"/>
              <w:right w:val="nil"/>
            </w:tcBorders>
            <w:vAlign w:val="center"/>
          </w:tcPr>
          <w:p w:rsidR="006C4688" w:rsidRDefault="006C4688" w:rsidP="00AC1B60">
            <w:pPr>
              <w:pStyle w:val="Maintext"/>
              <w:spacing w:line="360" w:lineRule="auto"/>
              <w:jc w:val="both"/>
              <w:rPr>
                <w:kern w:val="2"/>
                <w:sz w:val="20"/>
                <w:szCs w:val="20"/>
              </w:rPr>
            </w:pPr>
            <w:r>
              <w:rPr>
                <w:kern w:val="2"/>
                <w:sz w:val="20"/>
                <w:szCs w:val="20"/>
              </w:rPr>
              <w:t>1.052</w:t>
            </w:r>
          </w:p>
        </w:tc>
      </w:tr>
    </w:tbl>
    <w:p w:rsidR="006C4688" w:rsidRDefault="006C4688" w:rsidP="006C4688">
      <w:pPr>
        <w:pStyle w:val="Maintext"/>
        <w:spacing w:line="360" w:lineRule="auto"/>
        <w:jc w:val="both"/>
        <w:rPr>
          <w:b/>
          <w:sz w:val="20"/>
          <w:szCs w:val="20"/>
        </w:rPr>
      </w:pPr>
      <w:r>
        <w:rPr>
          <w:b/>
          <w:sz w:val="20"/>
          <w:szCs w:val="20"/>
        </w:rPr>
        <w:t xml:space="preserve"> </w:t>
      </w:r>
    </w:p>
    <w:p w:rsidR="006C4688" w:rsidRDefault="006C4688" w:rsidP="006C4688">
      <w:pPr>
        <w:pStyle w:val="Maintext"/>
        <w:spacing w:line="360" w:lineRule="auto"/>
        <w:jc w:val="both"/>
        <w:rPr>
          <w:rFonts w:eastAsiaTheme="minorEastAsia"/>
          <w:b/>
          <w:sz w:val="20"/>
          <w:szCs w:val="20"/>
        </w:rPr>
      </w:pPr>
      <w:r>
        <w:rPr>
          <w:b/>
          <w:sz w:val="20"/>
          <w:szCs w:val="20"/>
        </w:rPr>
        <w:t>R</w:t>
      </w:r>
      <w:r>
        <w:rPr>
          <w:rFonts w:hint="eastAsia"/>
          <w:b/>
          <w:sz w:val="20"/>
          <w:szCs w:val="20"/>
        </w:rPr>
        <w:t>eference</w:t>
      </w:r>
      <w:r>
        <w:rPr>
          <w:b/>
          <w:sz w:val="20"/>
          <w:szCs w:val="20"/>
        </w:rPr>
        <w:t>s</w:t>
      </w:r>
    </w:p>
    <w:p w:rsidR="006C4688" w:rsidRDefault="006C4688" w:rsidP="006C4688">
      <w:pPr>
        <w:pStyle w:val="EndNoteBibliography"/>
        <w:numPr>
          <w:ilvl w:val="0"/>
          <w:numId w:val="1"/>
        </w:numPr>
        <w:spacing w:line="360" w:lineRule="auto"/>
        <w:rPr>
          <w:rFonts w:eastAsiaTheme="minorEastAsia"/>
        </w:rPr>
      </w:pPr>
      <w:r>
        <w:t>King-Smith RD, Vanderbilt D. Theory of polarization of crystalline solids.</w:t>
      </w:r>
      <w:r>
        <w:rPr>
          <w:szCs w:val="20"/>
        </w:rPr>
        <w:t xml:space="preserve"> Phys Rev B</w:t>
      </w:r>
      <w:r>
        <w:rPr>
          <w:rFonts w:eastAsiaTheme="minorEastAsia" w:hint="eastAsia"/>
          <w:szCs w:val="20"/>
        </w:rPr>
        <w:t>.</w:t>
      </w:r>
      <w:r>
        <w:rPr>
          <w:i/>
          <w:szCs w:val="20"/>
        </w:rPr>
        <w:t xml:space="preserve"> </w:t>
      </w:r>
      <w:r>
        <w:t>1993</w:t>
      </w:r>
      <w:r>
        <w:rPr>
          <w:b/>
        </w:rPr>
        <w:t>;</w:t>
      </w:r>
      <w:r>
        <w:t xml:space="preserve"> 47 (3): 1651-1654.</w:t>
      </w:r>
    </w:p>
    <w:p w:rsidR="006C4688" w:rsidRDefault="006C4688" w:rsidP="006C4688">
      <w:pPr>
        <w:pStyle w:val="EndNoteBibliography"/>
        <w:numPr>
          <w:ilvl w:val="0"/>
          <w:numId w:val="1"/>
        </w:numPr>
        <w:spacing w:line="360" w:lineRule="auto"/>
        <w:rPr>
          <w:szCs w:val="20"/>
        </w:rPr>
      </w:pPr>
      <w:r>
        <w:t>Vanderbilt D, King-Smith RD. Electric polarization as a bulk quantity and its relation to surface charge. Phys Rev B.</w:t>
      </w:r>
      <w:r>
        <w:rPr>
          <w:i/>
        </w:rPr>
        <w:t xml:space="preserve"> </w:t>
      </w:r>
      <w:r>
        <w:t>1993</w:t>
      </w:r>
      <w:r>
        <w:rPr>
          <w:b/>
        </w:rPr>
        <w:t>;</w:t>
      </w:r>
      <w:r>
        <w:t xml:space="preserve"> 48 (7): 4442-4455</w:t>
      </w:r>
      <w:r>
        <w:rPr>
          <w:rFonts w:eastAsiaTheme="minorEastAsia" w:hint="eastAsia"/>
        </w:rPr>
        <w:t>.</w:t>
      </w:r>
    </w:p>
    <w:p w:rsidR="006C4688" w:rsidRDefault="006C4688" w:rsidP="006C4688">
      <w:pPr>
        <w:pStyle w:val="EndNoteBibliography"/>
        <w:numPr>
          <w:ilvl w:val="0"/>
          <w:numId w:val="1"/>
        </w:numPr>
        <w:spacing w:line="360" w:lineRule="auto"/>
        <w:rPr>
          <w:szCs w:val="20"/>
        </w:rPr>
      </w:pPr>
      <w:proofErr w:type="spellStart"/>
      <w:r>
        <w:rPr>
          <w:szCs w:val="20"/>
        </w:rPr>
        <w:t>Kresse</w:t>
      </w:r>
      <w:proofErr w:type="spellEnd"/>
      <w:r>
        <w:rPr>
          <w:szCs w:val="20"/>
        </w:rPr>
        <w:t xml:space="preserve"> G, </w:t>
      </w:r>
      <w:proofErr w:type="spellStart"/>
      <w:r>
        <w:rPr>
          <w:szCs w:val="20"/>
        </w:rPr>
        <w:t>Furthmu¨ller</w:t>
      </w:r>
      <w:proofErr w:type="spellEnd"/>
      <w:r>
        <w:rPr>
          <w:szCs w:val="20"/>
        </w:rPr>
        <w:t xml:space="preserve"> J. Efficient iterative schemes for ab initio total-energy calculations using a plane-wave basis set.</w:t>
      </w:r>
      <w:r>
        <w:t xml:space="preserve"> Phys Rev B. 1996</w:t>
      </w:r>
      <w:r>
        <w:rPr>
          <w:b/>
        </w:rPr>
        <w:t>;</w:t>
      </w:r>
      <w:r>
        <w:t xml:space="preserve"> 54 (16): 11169-11186.</w:t>
      </w:r>
    </w:p>
    <w:p w:rsidR="006C4688" w:rsidRDefault="006C4688" w:rsidP="006C4688">
      <w:pPr>
        <w:pStyle w:val="EndNoteBibliography"/>
        <w:numPr>
          <w:ilvl w:val="0"/>
          <w:numId w:val="1"/>
        </w:numPr>
        <w:spacing w:line="360" w:lineRule="auto"/>
        <w:rPr>
          <w:szCs w:val="20"/>
        </w:rPr>
      </w:pPr>
      <w:proofErr w:type="spellStart"/>
      <w:r>
        <w:t>Kresse</w:t>
      </w:r>
      <w:proofErr w:type="spellEnd"/>
      <w:r>
        <w:t xml:space="preserve"> G, </w:t>
      </w:r>
      <w:proofErr w:type="spellStart"/>
      <w:r>
        <w:t>Furthmiiller</w:t>
      </w:r>
      <w:proofErr w:type="spellEnd"/>
      <w:r>
        <w:t xml:space="preserve"> J. Efficiency of ab-initio total energy calculations for metals and semiconductors using a plane-wave basis set. </w:t>
      </w:r>
      <w:proofErr w:type="spellStart"/>
      <w:r>
        <w:rPr>
          <w:szCs w:val="20"/>
        </w:rPr>
        <w:t>Comput</w:t>
      </w:r>
      <w:proofErr w:type="spellEnd"/>
      <w:r>
        <w:rPr>
          <w:szCs w:val="20"/>
        </w:rPr>
        <w:t xml:space="preserve"> Mater Sci</w:t>
      </w:r>
      <w:r>
        <w:t>.</w:t>
      </w:r>
      <w:r>
        <w:rPr>
          <w:i/>
        </w:rPr>
        <w:t xml:space="preserve"> </w:t>
      </w:r>
      <w:r>
        <w:t>1996</w:t>
      </w:r>
      <w:r>
        <w:rPr>
          <w:b/>
        </w:rPr>
        <w:t>;</w:t>
      </w:r>
      <w:r>
        <w:t xml:space="preserve"> 6</w:t>
      </w:r>
      <w:r>
        <w:rPr>
          <w:rFonts w:eastAsiaTheme="minorEastAsia" w:hint="eastAsia"/>
        </w:rPr>
        <w:t>:</w:t>
      </w:r>
      <w:r>
        <w:t xml:space="preserve"> 15-50.</w:t>
      </w:r>
    </w:p>
    <w:p w:rsidR="006C4688" w:rsidRDefault="006C4688" w:rsidP="006C4688">
      <w:pPr>
        <w:pStyle w:val="EndNoteBibliography"/>
        <w:numPr>
          <w:ilvl w:val="0"/>
          <w:numId w:val="1"/>
        </w:numPr>
        <w:spacing w:line="360" w:lineRule="auto"/>
        <w:rPr>
          <w:szCs w:val="20"/>
        </w:rPr>
      </w:pPr>
      <w:proofErr w:type="spellStart"/>
      <w:r>
        <w:rPr>
          <w:szCs w:val="20"/>
        </w:rPr>
        <w:lastRenderedPageBreak/>
        <w:t>Perdew</w:t>
      </w:r>
      <w:proofErr w:type="spellEnd"/>
      <w:r>
        <w:rPr>
          <w:szCs w:val="20"/>
        </w:rPr>
        <w:t xml:space="preserve"> JP, Burke K, </w:t>
      </w:r>
      <w:proofErr w:type="spellStart"/>
      <w:r>
        <w:rPr>
          <w:szCs w:val="20"/>
        </w:rPr>
        <w:t>Ernzerhof</w:t>
      </w:r>
      <w:proofErr w:type="spellEnd"/>
      <w:r>
        <w:rPr>
          <w:szCs w:val="20"/>
        </w:rPr>
        <w:t xml:space="preserve"> M. Generalized Gradient Approximation Made Simple. Phys</w:t>
      </w:r>
      <w:r>
        <w:rPr>
          <w:rFonts w:eastAsiaTheme="minorEastAsia" w:hint="eastAsia"/>
          <w:szCs w:val="20"/>
        </w:rPr>
        <w:t xml:space="preserve"> </w:t>
      </w:r>
      <w:r>
        <w:rPr>
          <w:szCs w:val="20"/>
        </w:rPr>
        <w:t>Rev Lett.</w:t>
      </w:r>
      <w:r>
        <w:rPr>
          <w:i/>
          <w:szCs w:val="20"/>
        </w:rPr>
        <w:t xml:space="preserve"> </w:t>
      </w:r>
      <w:r>
        <w:rPr>
          <w:szCs w:val="20"/>
        </w:rPr>
        <w:t>1996</w:t>
      </w:r>
      <w:r>
        <w:rPr>
          <w:b/>
          <w:szCs w:val="20"/>
        </w:rPr>
        <w:t>;</w:t>
      </w:r>
      <w:r>
        <w:rPr>
          <w:szCs w:val="20"/>
        </w:rPr>
        <w:t xml:space="preserve"> 77 (18): 3865-3868.</w:t>
      </w:r>
    </w:p>
    <w:p w:rsidR="006C4688" w:rsidRDefault="006C4688" w:rsidP="006C4688">
      <w:pPr>
        <w:spacing w:line="360" w:lineRule="auto"/>
        <w:jc w:val="both"/>
        <w:rPr>
          <w:rFonts w:eastAsiaTheme="minorEastAsia"/>
          <w:sz w:val="20"/>
          <w:szCs w:val="20"/>
        </w:rPr>
      </w:pPr>
      <w:r>
        <w:rPr>
          <w:sz w:val="20"/>
          <w:szCs w:val="20"/>
        </w:rPr>
        <w:t xml:space="preserve"> </w:t>
      </w:r>
    </w:p>
    <w:p w:rsidR="00FB6589" w:rsidRDefault="00FB6589"/>
    <w:sectPr w:rsidR="00FB65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67840"/>
      <w:docPartObj>
        <w:docPartGallery w:val="AutoText"/>
      </w:docPartObj>
    </w:sdtPr>
    <w:sdtEndPr>
      <w:rPr>
        <w:sz w:val="20"/>
        <w:szCs w:val="20"/>
      </w:rPr>
    </w:sdtEndPr>
    <w:sdtContent>
      <w:p w:rsidR="00372778" w:rsidRDefault="00A96E7E">
        <w:pPr>
          <w:pStyle w:val="a3"/>
          <w:jc w:val="center"/>
          <w:rPr>
            <w:sz w:val="20"/>
            <w:szCs w:val="20"/>
          </w:rPr>
        </w:pPr>
        <w:r>
          <w:rPr>
            <w:sz w:val="20"/>
            <w:szCs w:val="20"/>
          </w:rPr>
          <w:fldChar w:fldCharType="begin"/>
        </w:r>
        <w:r>
          <w:rPr>
            <w:sz w:val="20"/>
            <w:szCs w:val="20"/>
          </w:rPr>
          <w:instrText>PAGE   \* MERGEFORMAT</w:instrText>
        </w:r>
        <w:r>
          <w:rPr>
            <w:sz w:val="20"/>
            <w:szCs w:val="20"/>
          </w:rPr>
          <w:fldChar w:fldCharType="separate"/>
        </w:r>
        <w:r w:rsidRPr="00A96E7E">
          <w:rPr>
            <w:noProof/>
            <w:sz w:val="20"/>
            <w:szCs w:val="20"/>
            <w:lang w:val="zh-CN"/>
          </w:rPr>
          <w:t>4</w:t>
        </w:r>
        <w:r>
          <w:rPr>
            <w:sz w:val="20"/>
            <w:szCs w:val="20"/>
          </w:rPr>
          <w:fldChar w:fldCharType="end"/>
        </w:r>
      </w:p>
    </w:sdtContent>
  </w:sdt>
  <w:p w:rsidR="00372778" w:rsidRDefault="00A96E7E">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C7215A"/>
    <w:multiLevelType w:val="multilevel"/>
    <w:tmpl w:val="75C7215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688"/>
    <w:rsid w:val="006C4688"/>
    <w:rsid w:val="00A96E7E"/>
    <w:rsid w:val="00F0589B"/>
    <w:rsid w:val="00FB6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88"/>
    <w:rPr>
      <w:rFonts w:ascii="Times New Roman" w:eastAsia="MS Mincho"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C4688"/>
    <w:pPr>
      <w:tabs>
        <w:tab w:val="center" w:pos="4153"/>
        <w:tab w:val="right" w:pos="8306"/>
      </w:tabs>
      <w:snapToGrid w:val="0"/>
    </w:pPr>
    <w:rPr>
      <w:sz w:val="18"/>
      <w:szCs w:val="18"/>
    </w:rPr>
  </w:style>
  <w:style w:type="character" w:customStyle="1" w:styleId="Char">
    <w:name w:val="页脚 Char"/>
    <w:basedOn w:val="a0"/>
    <w:link w:val="a3"/>
    <w:uiPriority w:val="99"/>
    <w:qFormat/>
    <w:rsid w:val="006C4688"/>
    <w:rPr>
      <w:rFonts w:ascii="Times New Roman" w:eastAsia="MS Mincho" w:hAnsi="Times New Roman" w:cs="Times New Roman"/>
      <w:kern w:val="0"/>
      <w:sz w:val="18"/>
      <w:szCs w:val="18"/>
    </w:rPr>
  </w:style>
  <w:style w:type="paragraph" w:customStyle="1" w:styleId="Title2">
    <w:name w:val="Title2"/>
    <w:basedOn w:val="a"/>
    <w:qFormat/>
    <w:rsid w:val="006C4688"/>
    <w:rPr>
      <w:b/>
    </w:rPr>
  </w:style>
  <w:style w:type="paragraph" w:customStyle="1" w:styleId="AuthorsFull">
    <w:name w:val="Authors Full"/>
    <w:basedOn w:val="a"/>
    <w:rsid w:val="006C4688"/>
    <w:rPr>
      <w:i/>
    </w:rPr>
  </w:style>
  <w:style w:type="paragraph" w:customStyle="1" w:styleId="Tableofcontents">
    <w:name w:val="Table of contents"/>
    <w:basedOn w:val="a"/>
    <w:qFormat/>
    <w:rsid w:val="006C4688"/>
  </w:style>
  <w:style w:type="paragraph" w:customStyle="1" w:styleId="EndNoteBibliography">
    <w:name w:val="EndNote Bibliography"/>
    <w:basedOn w:val="a"/>
    <w:link w:val="EndNoteBibliographyChar"/>
    <w:qFormat/>
    <w:rsid w:val="006C4688"/>
    <w:pPr>
      <w:jc w:val="both"/>
    </w:pPr>
    <w:rPr>
      <w:sz w:val="20"/>
    </w:rPr>
  </w:style>
  <w:style w:type="paragraph" w:customStyle="1" w:styleId="Maintext">
    <w:name w:val="Main text"/>
    <w:basedOn w:val="a"/>
    <w:qFormat/>
    <w:rsid w:val="006C4688"/>
    <w:pPr>
      <w:spacing w:line="480" w:lineRule="auto"/>
    </w:pPr>
  </w:style>
  <w:style w:type="character" w:customStyle="1" w:styleId="EndNoteBibliographyChar">
    <w:name w:val="EndNote Bibliography Char"/>
    <w:basedOn w:val="a0"/>
    <w:link w:val="EndNoteBibliography"/>
    <w:rsid w:val="006C4688"/>
    <w:rPr>
      <w:rFonts w:ascii="Times New Roman" w:eastAsia="MS Mincho" w:hAnsi="Times New Roman" w:cs="Times New Roman"/>
      <w:kern w:val="0"/>
      <w:sz w:val="20"/>
      <w:szCs w:val="24"/>
    </w:rPr>
  </w:style>
  <w:style w:type="paragraph" w:styleId="a4">
    <w:name w:val="Balloon Text"/>
    <w:basedOn w:val="a"/>
    <w:link w:val="Char0"/>
    <w:uiPriority w:val="99"/>
    <w:semiHidden/>
    <w:unhideWhenUsed/>
    <w:rsid w:val="006C4688"/>
    <w:rPr>
      <w:sz w:val="18"/>
      <w:szCs w:val="18"/>
    </w:rPr>
  </w:style>
  <w:style w:type="character" w:customStyle="1" w:styleId="Char0">
    <w:name w:val="批注框文本 Char"/>
    <w:basedOn w:val="a0"/>
    <w:link w:val="a4"/>
    <w:uiPriority w:val="99"/>
    <w:semiHidden/>
    <w:rsid w:val="006C4688"/>
    <w:rPr>
      <w:rFonts w:ascii="Times New Roman" w:eastAsia="MS Mincho" w:hAnsi="Times New Roman" w:cs="Times New Roman"/>
      <w:kern w:val="0"/>
      <w:sz w:val="18"/>
      <w:szCs w:val="18"/>
    </w:rPr>
  </w:style>
  <w:style w:type="paragraph" w:styleId="a5">
    <w:name w:val="Normal (Web)"/>
    <w:basedOn w:val="a"/>
    <w:uiPriority w:val="99"/>
    <w:semiHidden/>
    <w:unhideWhenUsed/>
    <w:rsid w:val="006C4688"/>
  </w:style>
  <w:style w:type="character" w:styleId="a6">
    <w:name w:val="Hyperlink"/>
    <w:basedOn w:val="a0"/>
    <w:uiPriority w:val="99"/>
    <w:unhideWhenUsed/>
    <w:rsid w:val="006C46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88"/>
    <w:rPr>
      <w:rFonts w:ascii="Times New Roman" w:eastAsia="MS Mincho"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C4688"/>
    <w:pPr>
      <w:tabs>
        <w:tab w:val="center" w:pos="4153"/>
        <w:tab w:val="right" w:pos="8306"/>
      </w:tabs>
      <w:snapToGrid w:val="0"/>
    </w:pPr>
    <w:rPr>
      <w:sz w:val="18"/>
      <w:szCs w:val="18"/>
    </w:rPr>
  </w:style>
  <w:style w:type="character" w:customStyle="1" w:styleId="Char">
    <w:name w:val="页脚 Char"/>
    <w:basedOn w:val="a0"/>
    <w:link w:val="a3"/>
    <w:uiPriority w:val="99"/>
    <w:qFormat/>
    <w:rsid w:val="006C4688"/>
    <w:rPr>
      <w:rFonts w:ascii="Times New Roman" w:eastAsia="MS Mincho" w:hAnsi="Times New Roman" w:cs="Times New Roman"/>
      <w:kern w:val="0"/>
      <w:sz w:val="18"/>
      <w:szCs w:val="18"/>
    </w:rPr>
  </w:style>
  <w:style w:type="paragraph" w:customStyle="1" w:styleId="Title2">
    <w:name w:val="Title2"/>
    <w:basedOn w:val="a"/>
    <w:qFormat/>
    <w:rsid w:val="006C4688"/>
    <w:rPr>
      <w:b/>
    </w:rPr>
  </w:style>
  <w:style w:type="paragraph" w:customStyle="1" w:styleId="AuthorsFull">
    <w:name w:val="Authors Full"/>
    <w:basedOn w:val="a"/>
    <w:rsid w:val="006C4688"/>
    <w:rPr>
      <w:i/>
    </w:rPr>
  </w:style>
  <w:style w:type="paragraph" w:customStyle="1" w:styleId="Tableofcontents">
    <w:name w:val="Table of contents"/>
    <w:basedOn w:val="a"/>
    <w:qFormat/>
    <w:rsid w:val="006C4688"/>
  </w:style>
  <w:style w:type="paragraph" w:customStyle="1" w:styleId="EndNoteBibliography">
    <w:name w:val="EndNote Bibliography"/>
    <w:basedOn w:val="a"/>
    <w:link w:val="EndNoteBibliographyChar"/>
    <w:qFormat/>
    <w:rsid w:val="006C4688"/>
    <w:pPr>
      <w:jc w:val="both"/>
    </w:pPr>
    <w:rPr>
      <w:sz w:val="20"/>
    </w:rPr>
  </w:style>
  <w:style w:type="paragraph" w:customStyle="1" w:styleId="Maintext">
    <w:name w:val="Main text"/>
    <w:basedOn w:val="a"/>
    <w:qFormat/>
    <w:rsid w:val="006C4688"/>
    <w:pPr>
      <w:spacing w:line="480" w:lineRule="auto"/>
    </w:pPr>
  </w:style>
  <w:style w:type="character" w:customStyle="1" w:styleId="EndNoteBibliographyChar">
    <w:name w:val="EndNote Bibliography Char"/>
    <w:basedOn w:val="a0"/>
    <w:link w:val="EndNoteBibliography"/>
    <w:rsid w:val="006C4688"/>
    <w:rPr>
      <w:rFonts w:ascii="Times New Roman" w:eastAsia="MS Mincho" w:hAnsi="Times New Roman" w:cs="Times New Roman"/>
      <w:kern w:val="0"/>
      <w:sz w:val="20"/>
      <w:szCs w:val="24"/>
    </w:rPr>
  </w:style>
  <w:style w:type="paragraph" w:styleId="a4">
    <w:name w:val="Balloon Text"/>
    <w:basedOn w:val="a"/>
    <w:link w:val="Char0"/>
    <w:uiPriority w:val="99"/>
    <w:semiHidden/>
    <w:unhideWhenUsed/>
    <w:rsid w:val="006C4688"/>
    <w:rPr>
      <w:sz w:val="18"/>
      <w:szCs w:val="18"/>
    </w:rPr>
  </w:style>
  <w:style w:type="character" w:customStyle="1" w:styleId="Char0">
    <w:name w:val="批注框文本 Char"/>
    <w:basedOn w:val="a0"/>
    <w:link w:val="a4"/>
    <w:uiPriority w:val="99"/>
    <w:semiHidden/>
    <w:rsid w:val="006C4688"/>
    <w:rPr>
      <w:rFonts w:ascii="Times New Roman" w:eastAsia="MS Mincho" w:hAnsi="Times New Roman" w:cs="Times New Roman"/>
      <w:kern w:val="0"/>
      <w:sz w:val="18"/>
      <w:szCs w:val="18"/>
    </w:rPr>
  </w:style>
  <w:style w:type="paragraph" w:styleId="a5">
    <w:name w:val="Normal (Web)"/>
    <w:basedOn w:val="a"/>
    <w:uiPriority w:val="99"/>
    <w:semiHidden/>
    <w:unhideWhenUsed/>
    <w:rsid w:val="006C4688"/>
  </w:style>
  <w:style w:type="character" w:styleId="a6">
    <w:name w:val="Hyperlink"/>
    <w:basedOn w:val="a0"/>
    <w:uiPriority w:val="99"/>
    <w:unhideWhenUsed/>
    <w:rsid w:val="006C46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zhanghanyue@seu.edu.cn"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mailto:xiongrg@seu.edu.cn"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1077</Words>
  <Characters>6143</Characters>
  <Application>Microsoft Office Word</Application>
  <DocSecurity>0</DocSecurity>
  <Lines>51</Lines>
  <Paragraphs>14</Paragraphs>
  <ScaleCrop>false</ScaleCrop>
  <Company/>
  <LinksUpToDate>false</LinksUpToDate>
  <CharactersWithSpaces>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蒋欢欢</dc:creator>
  <cp:lastModifiedBy>蒋欢欢</cp:lastModifiedBy>
  <cp:revision>1</cp:revision>
  <dcterms:created xsi:type="dcterms:W3CDTF">2023-06-09T06:53:00Z</dcterms:created>
  <dcterms:modified xsi:type="dcterms:W3CDTF">2023-06-09T07:20:00Z</dcterms:modified>
</cp:coreProperties>
</file>