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A3658" w14:textId="1D3A588D" w:rsidR="00F20150" w:rsidRPr="00102620" w:rsidRDefault="005879E3" w:rsidP="005879E3">
      <w:pPr>
        <w:jc w:val="center"/>
        <w:rPr>
          <w:rFonts w:ascii="Times New Roman" w:hAnsi="Times New Roman" w:cs="Times New Roman"/>
          <w:b/>
          <w:bCs/>
          <w:sz w:val="28"/>
          <w:szCs w:val="28"/>
        </w:rPr>
      </w:pPr>
      <w:r w:rsidRPr="00102620">
        <w:rPr>
          <w:rFonts w:ascii="Times New Roman" w:hAnsi="Times New Roman" w:cs="Times New Roman"/>
          <w:b/>
          <w:bCs/>
          <w:sz w:val="28"/>
          <w:szCs w:val="28"/>
        </w:rPr>
        <w:t>Supporting Information</w:t>
      </w:r>
    </w:p>
    <w:p w14:paraId="56540A80" w14:textId="61B19F38" w:rsidR="00E04C9D" w:rsidRPr="00102620" w:rsidRDefault="00CF6489" w:rsidP="000A65C7">
      <w:pPr>
        <w:jc w:val="center"/>
        <w:rPr>
          <w:rFonts w:ascii="Times New Roman" w:hAnsi="Times New Roman" w:cs="Times New Roman"/>
          <w:b/>
          <w:bCs/>
          <w:sz w:val="28"/>
          <w:szCs w:val="28"/>
        </w:rPr>
      </w:pPr>
      <w:r w:rsidRPr="00102620">
        <w:rPr>
          <w:rFonts w:ascii="Times New Roman" w:hAnsi="Times New Roman" w:cs="Times New Roman"/>
          <w:b/>
          <w:bCs/>
          <w:sz w:val="28"/>
          <w:szCs w:val="28"/>
        </w:rPr>
        <w:t xml:space="preserve">Synergistic Effect of N, O, S Heteroatoms in Bifunctional Covalent Organic Polymers Promotes Sensitive Detection and Efficient Capture of </w:t>
      </w:r>
      <w:proofErr w:type="gramStart"/>
      <w:r w:rsidRPr="00102620">
        <w:rPr>
          <w:rFonts w:ascii="Times New Roman" w:hAnsi="Times New Roman" w:cs="Times New Roman"/>
          <w:b/>
          <w:bCs/>
          <w:sz w:val="28"/>
          <w:szCs w:val="28"/>
        </w:rPr>
        <w:t>Mercury(</w:t>
      </w:r>
      <w:proofErr w:type="gramEnd"/>
      <w:r w:rsidRPr="00102620">
        <w:rPr>
          <w:rFonts w:ascii="Times New Roman" w:hAnsi="Times New Roman" w:cs="Times New Roman"/>
          <w:b/>
          <w:bCs/>
          <w:sz w:val="28"/>
          <w:szCs w:val="28"/>
        </w:rPr>
        <w:t>II)</w:t>
      </w:r>
    </w:p>
    <w:p w14:paraId="5EFD6D5A" w14:textId="21FB8860" w:rsidR="00EB62A0" w:rsidRPr="00102620" w:rsidRDefault="00EB62A0" w:rsidP="005879E3">
      <w:pPr>
        <w:jc w:val="left"/>
        <w:rPr>
          <w:rFonts w:ascii="Times New Roman" w:hAnsi="Times New Roman" w:cs="Times New Roman"/>
          <w:sz w:val="24"/>
          <w:szCs w:val="24"/>
        </w:rPr>
      </w:pPr>
    </w:p>
    <w:p w14:paraId="33646A33" w14:textId="77777777" w:rsidR="00DA1124" w:rsidRPr="00102620" w:rsidRDefault="00DA1124" w:rsidP="00DA1124">
      <w:pPr>
        <w:widowControl/>
        <w:spacing w:before="120" w:after="400" w:line="200" w:lineRule="exact"/>
        <w:jc w:val="center"/>
        <w:rPr>
          <w:rFonts w:ascii="Times New Roman" w:eastAsia="宋体" w:hAnsi="Times New Roman" w:cs="Times New Roman"/>
          <w:noProof/>
          <w:kern w:val="0"/>
          <w:sz w:val="24"/>
          <w:szCs w:val="24"/>
          <w:vertAlign w:val="superscript"/>
          <w:lang w:val="en-GB" w:eastAsia="en-US"/>
        </w:rPr>
      </w:pPr>
      <w:r w:rsidRPr="00102620">
        <w:rPr>
          <w:rFonts w:ascii="Times New Roman" w:eastAsia="宋体" w:hAnsi="Times New Roman" w:cs="Times New Roman"/>
          <w:noProof/>
          <w:kern w:val="0"/>
          <w:sz w:val="24"/>
          <w:szCs w:val="24"/>
          <w:lang w:val="en-GB" w:eastAsia="en-US"/>
        </w:rPr>
        <w:t>Ye Zhu,</w:t>
      </w:r>
      <w:r w:rsidRPr="00102620">
        <w:rPr>
          <w:rFonts w:ascii="Times New Roman" w:eastAsia="宋体" w:hAnsi="Times New Roman" w:cs="Times New Roman"/>
          <w:noProof/>
          <w:kern w:val="0"/>
          <w:sz w:val="24"/>
          <w:szCs w:val="24"/>
          <w:vertAlign w:val="superscript"/>
          <w:lang w:val="en-GB" w:eastAsia="en-US"/>
        </w:rPr>
        <w:t>a</w:t>
      </w:r>
      <w:r w:rsidRPr="00102620">
        <w:rPr>
          <w:rFonts w:ascii="Times New Roman" w:eastAsia="宋体" w:hAnsi="Times New Roman" w:cs="Times New Roman"/>
          <w:noProof/>
          <w:kern w:val="0"/>
          <w:sz w:val="24"/>
          <w:szCs w:val="24"/>
          <w:lang w:val="en-GB" w:eastAsia="en-US"/>
        </w:rPr>
        <w:t xml:space="preserve"> Cailing Ni,*</w:t>
      </w:r>
      <w:r w:rsidRPr="00102620">
        <w:rPr>
          <w:rFonts w:ascii="Times New Roman" w:eastAsia="宋体" w:hAnsi="Times New Roman" w:cs="Times New Roman"/>
          <w:noProof/>
          <w:kern w:val="0"/>
          <w:sz w:val="24"/>
          <w:szCs w:val="24"/>
          <w:vertAlign w:val="superscript"/>
          <w:lang w:val="en-GB" w:eastAsia="en-US"/>
        </w:rPr>
        <w:t xml:space="preserve">a </w:t>
      </w:r>
      <w:r w:rsidRPr="00102620">
        <w:rPr>
          <w:rFonts w:ascii="Times New Roman" w:eastAsia="宋体" w:hAnsi="Times New Roman" w:cs="Times New Roman"/>
          <w:noProof/>
          <w:kern w:val="0"/>
          <w:sz w:val="24"/>
          <w:szCs w:val="24"/>
          <w:lang w:val="en-GB" w:eastAsia="en-US"/>
        </w:rPr>
        <w:t>Chao Zhang,</w:t>
      </w:r>
      <w:r w:rsidRPr="00102620">
        <w:rPr>
          <w:rFonts w:ascii="Times New Roman" w:eastAsia="宋体" w:hAnsi="Times New Roman" w:cs="Times New Roman"/>
          <w:noProof/>
          <w:kern w:val="0"/>
          <w:sz w:val="24"/>
          <w:szCs w:val="24"/>
          <w:vertAlign w:val="superscript"/>
          <w:lang w:val="en-GB" w:eastAsia="en-US"/>
        </w:rPr>
        <w:t xml:space="preserve">a </w:t>
      </w:r>
      <w:r w:rsidRPr="00102620">
        <w:rPr>
          <w:rFonts w:ascii="Times New Roman" w:eastAsia="宋体" w:hAnsi="Times New Roman" w:cs="Times New Roman"/>
          <w:noProof/>
          <w:kern w:val="0"/>
          <w:sz w:val="24"/>
          <w:szCs w:val="24"/>
          <w:lang w:val="en-GB" w:eastAsia="en-US"/>
        </w:rPr>
        <w:t>Zhimin Liu,</w:t>
      </w:r>
      <w:r w:rsidRPr="00102620">
        <w:rPr>
          <w:rFonts w:ascii="Times New Roman" w:eastAsia="宋体" w:hAnsi="Times New Roman" w:cs="Times New Roman"/>
          <w:noProof/>
          <w:kern w:val="0"/>
          <w:sz w:val="24"/>
          <w:szCs w:val="24"/>
          <w:vertAlign w:val="superscript"/>
          <w:lang w:val="en-GB" w:eastAsia="en-US"/>
        </w:rPr>
        <w:t>b</w:t>
      </w:r>
      <w:r w:rsidRPr="00102620">
        <w:rPr>
          <w:rFonts w:ascii="Times New Roman" w:eastAsia="宋体" w:hAnsi="Times New Roman" w:cs="Times New Roman"/>
          <w:noProof/>
          <w:kern w:val="0"/>
          <w:sz w:val="24"/>
          <w:szCs w:val="24"/>
          <w:lang w:val="en-GB" w:eastAsia="en-US"/>
        </w:rPr>
        <w:t xml:space="preserve"> Guanghui Wu,</w:t>
      </w:r>
      <w:r w:rsidRPr="00102620">
        <w:rPr>
          <w:rFonts w:ascii="Times New Roman" w:eastAsia="宋体" w:hAnsi="Times New Roman" w:cs="Times New Roman"/>
          <w:noProof/>
          <w:kern w:val="0"/>
          <w:sz w:val="24"/>
          <w:szCs w:val="24"/>
          <w:vertAlign w:val="superscript"/>
          <w:lang w:val="en-GB" w:eastAsia="en-US"/>
        </w:rPr>
        <w:t xml:space="preserve">a </w:t>
      </w:r>
      <w:r w:rsidRPr="00102620">
        <w:rPr>
          <w:rFonts w:ascii="Times New Roman" w:eastAsia="宋体" w:hAnsi="Times New Roman" w:cs="Times New Roman"/>
          <w:noProof/>
          <w:kern w:val="0"/>
          <w:sz w:val="24"/>
          <w:szCs w:val="24"/>
          <w:lang w:val="en-GB" w:eastAsia="en-US"/>
        </w:rPr>
        <w:t>Yanqing Chen,</w:t>
      </w:r>
      <w:r w:rsidRPr="00102620">
        <w:rPr>
          <w:rFonts w:ascii="Times New Roman" w:eastAsia="宋体" w:hAnsi="Times New Roman" w:cs="Times New Roman"/>
          <w:noProof/>
          <w:kern w:val="0"/>
          <w:sz w:val="24"/>
          <w:szCs w:val="24"/>
          <w:vertAlign w:val="superscript"/>
          <w:lang w:val="en-GB" w:eastAsia="en-US"/>
        </w:rPr>
        <w:t>a</w:t>
      </w:r>
      <w:r w:rsidRPr="00102620">
        <w:rPr>
          <w:rFonts w:ascii="Times New Roman" w:eastAsia="宋体" w:hAnsi="Times New Roman" w:cs="Times New Roman"/>
          <w:noProof/>
          <w:kern w:val="0"/>
          <w:sz w:val="24"/>
          <w:szCs w:val="24"/>
          <w:lang w:val="en-GB" w:eastAsia="en-US"/>
        </w:rPr>
        <w:t xml:space="preserve"> and Yuancheng Qin</w:t>
      </w:r>
      <w:r w:rsidRPr="00102620">
        <w:rPr>
          <w:rFonts w:ascii="Times New Roman" w:eastAsia="宋体" w:hAnsi="Times New Roman" w:cs="Times New Roman"/>
          <w:noProof/>
          <w:kern w:val="0"/>
          <w:sz w:val="24"/>
          <w:szCs w:val="24"/>
          <w:vertAlign w:val="superscript"/>
          <w:lang w:val="en-GB" w:eastAsia="en-US"/>
        </w:rPr>
        <w:t>a</w:t>
      </w:r>
    </w:p>
    <w:p w14:paraId="10F9C6C1" w14:textId="77777777" w:rsidR="009E6515" w:rsidRPr="00102620" w:rsidRDefault="009E6515" w:rsidP="009E6515">
      <w:pPr>
        <w:widowControl/>
        <w:spacing w:before="120" w:after="400" w:line="200" w:lineRule="exact"/>
        <w:jc w:val="center"/>
        <w:rPr>
          <w:rFonts w:ascii="Times New Roman" w:eastAsia="宋体" w:hAnsi="Times New Roman" w:cs="Times New Roman"/>
          <w:i/>
          <w:noProof/>
          <w:kern w:val="0"/>
          <w:sz w:val="16"/>
          <w:szCs w:val="20"/>
          <w:lang w:eastAsia="en-US"/>
        </w:rPr>
      </w:pPr>
      <w:r w:rsidRPr="00102620">
        <w:rPr>
          <w:rFonts w:ascii="Times New Roman" w:eastAsia="宋体" w:hAnsi="Times New Roman" w:cs="Times New Roman"/>
          <w:i/>
          <w:noProof/>
          <w:kern w:val="0"/>
          <w:sz w:val="16"/>
          <w:szCs w:val="20"/>
          <w:vertAlign w:val="superscript"/>
          <w:lang w:eastAsia="en-US"/>
        </w:rPr>
        <w:t xml:space="preserve">a </w:t>
      </w:r>
      <w:r w:rsidRPr="00102620">
        <w:rPr>
          <w:rFonts w:ascii="Times New Roman" w:eastAsia="宋体" w:hAnsi="Times New Roman" w:cs="Times New Roman"/>
          <w:i/>
          <w:noProof/>
          <w:kern w:val="0"/>
          <w:sz w:val="16"/>
          <w:szCs w:val="20"/>
          <w:lang w:eastAsia="en-US"/>
        </w:rPr>
        <w:t>Key Laboratory of Jiangxi Province forPersistent Pollutants Control and Resources Recycle, Nanchang Hangkong University, Nanchang 330063, P. R. China</w:t>
      </w:r>
    </w:p>
    <w:p w14:paraId="594A83B3" w14:textId="77777777" w:rsidR="009E6515" w:rsidRPr="00102620" w:rsidRDefault="009E6515" w:rsidP="009E6515">
      <w:pPr>
        <w:widowControl/>
        <w:spacing w:before="120" w:after="400" w:line="200" w:lineRule="exact"/>
        <w:jc w:val="center"/>
        <w:rPr>
          <w:rFonts w:ascii="Times New Roman" w:eastAsia="宋体" w:hAnsi="Times New Roman" w:cs="Times New Roman"/>
          <w:i/>
          <w:noProof/>
          <w:kern w:val="0"/>
          <w:sz w:val="16"/>
          <w:szCs w:val="20"/>
          <w:lang w:eastAsia="en-US"/>
        </w:rPr>
      </w:pPr>
      <w:r w:rsidRPr="00102620">
        <w:rPr>
          <w:rFonts w:ascii="Times New Roman" w:eastAsia="宋体" w:hAnsi="Times New Roman" w:cs="Times New Roman"/>
          <w:i/>
          <w:noProof/>
          <w:kern w:val="0"/>
          <w:sz w:val="16"/>
          <w:szCs w:val="20"/>
          <w:vertAlign w:val="superscript"/>
          <w:lang w:eastAsia="en-US"/>
        </w:rPr>
        <w:t>b</w:t>
      </w:r>
      <w:r w:rsidRPr="00102620">
        <w:rPr>
          <w:rFonts w:ascii="Times New Roman" w:eastAsia="宋体" w:hAnsi="Times New Roman" w:cs="Times New Roman"/>
          <w:i/>
          <w:noProof/>
          <w:kern w:val="0"/>
          <w:sz w:val="16"/>
          <w:szCs w:val="20"/>
          <w:lang w:eastAsia="en-US"/>
        </w:rPr>
        <w:t>Sinocat Environmental Technology Co., Ltd.</w:t>
      </w:r>
    </w:p>
    <w:p w14:paraId="49AB8A7D" w14:textId="54ECBF6A" w:rsidR="00240BB6" w:rsidRPr="00102620" w:rsidRDefault="00240BB6" w:rsidP="005879E3">
      <w:pPr>
        <w:jc w:val="left"/>
        <w:rPr>
          <w:rFonts w:ascii="Times New Roman" w:hAnsi="Times New Roman" w:cs="Times New Roman"/>
          <w:sz w:val="24"/>
          <w:szCs w:val="24"/>
        </w:rPr>
      </w:pPr>
    </w:p>
    <w:p w14:paraId="197835D4" w14:textId="33B5C435" w:rsidR="00240BB6" w:rsidRPr="00102620" w:rsidRDefault="00240BB6" w:rsidP="005879E3">
      <w:pPr>
        <w:jc w:val="left"/>
        <w:rPr>
          <w:rFonts w:ascii="Times New Roman" w:hAnsi="Times New Roman" w:cs="Times New Roman"/>
          <w:sz w:val="24"/>
          <w:szCs w:val="24"/>
        </w:rPr>
      </w:pPr>
    </w:p>
    <w:p w14:paraId="5F34F5F3" w14:textId="47836A7B" w:rsidR="00240BB6" w:rsidRPr="00102620" w:rsidRDefault="00240BB6" w:rsidP="005879E3">
      <w:pPr>
        <w:jc w:val="left"/>
        <w:rPr>
          <w:rFonts w:ascii="Times New Roman" w:hAnsi="Times New Roman" w:cs="Times New Roman"/>
          <w:sz w:val="24"/>
          <w:szCs w:val="24"/>
        </w:rPr>
      </w:pPr>
    </w:p>
    <w:p w14:paraId="1798CC70" w14:textId="5BE79517" w:rsidR="002F185C" w:rsidRPr="00102620" w:rsidRDefault="002F185C" w:rsidP="005879E3">
      <w:pPr>
        <w:jc w:val="left"/>
        <w:rPr>
          <w:rFonts w:ascii="Times New Roman" w:hAnsi="Times New Roman" w:cs="Times New Roman"/>
          <w:sz w:val="24"/>
          <w:szCs w:val="24"/>
        </w:rPr>
      </w:pPr>
    </w:p>
    <w:p w14:paraId="5E4F7A3B" w14:textId="2A111256" w:rsidR="002F185C" w:rsidRPr="00102620" w:rsidRDefault="002F185C" w:rsidP="005879E3">
      <w:pPr>
        <w:jc w:val="left"/>
        <w:rPr>
          <w:rFonts w:ascii="Times New Roman" w:hAnsi="Times New Roman" w:cs="Times New Roman"/>
          <w:sz w:val="24"/>
          <w:szCs w:val="24"/>
        </w:rPr>
      </w:pPr>
    </w:p>
    <w:p w14:paraId="6BF92C1B" w14:textId="511DF0DB" w:rsidR="002F185C" w:rsidRPr="00102620" w:rsidRDefault="002F185C" w:rsidP="005879E3">
      <w:pPr>
        <w:jc w:val="left"/>
        <w:rPr>
          <w:rFonts w:ascii="Times New Roman" w:hAnsi="Times New Roman" w:cs="Times New Roman"/>
          <w:sz w:val="24"/>
          <w:szCs w:val="24"/>
        </w:rPr>
      </w:pPr>
    </w:p>
    <w:p w14:paraId="04ADF4E1" w14:textId="2097FDC2" w:rsidR="002F185C" w:rsidRPr="00102620" w:rsidRDefault="002F185C" w:rsidP="005879E3">
      <w:pPr>
        <w:jc w:val="left"/>
        <w:rPr>
          <w:rFonts w:ascii="Times New Roman" w:hAnsi="Times New Roman" w:cs="Times New Roman"/>
          <w:sz w:val="24"/>
          <w:szCs w:val="24"/>
        </w:rPr>
      </w:pPr>
    </w:p>
    <w:p w14:paraId="01EEC0CA" w14:textId="3F66B989" w:rsidR="002F185C" w:rsidRPr="00102620" w:rsidRDefault="002F185C" w:rsidP="005879E3">
      <w:pPr>
        <w:jc w:val="left"/>
        <w:rPr>
          <w:rFonts w:ascii="Times New Roman" w:hAnsi="Times New Roman" w:cs="Times New Roman"/>
          <w:sz w:val="24"/>
          <w:szCs w:val="24"/>
        </w:rPr>
      </w:pPr>
    </w:p>
    <w:p w14:paraId="62E8806E" w14:textId="0C93EDA1" w:rsidR="002F185C" w:rsidRPr="00102620" w:rsidRDefault="002F185C" w:rsidP="005879E3">
      <w:pPr>
        <w:jc w:val="left"/>
        <w:rPr>
          <w:rFonts w:ascii="Times New Roman" w:hAnsi="Times New Roman" w:cs="Times New Roman"/>
          <w:sz w:val="24"/>
          <w:szCs w:val="24"/>
        </w:rPr>
      </w:pPr>
    </w:p>
    <w:p w14:paraId="22100205" w14:textId="5B2A4D0F" w:rsidR="002F185C" w:rsidRPr="00102620" w:rsidRDefault="002F185C" w:rsidP="005879E3">
      <w:pPr>
        <w:jc w:val="left"/>
        <w:rPr>
          <w:rFonts w:ascii="Times New Roman" w:hAnsi="Times New Roman" w:cs="Times New Roman"/>
          <w:sz w:val="24"/>
          <w:szCs w:val="24"/>
        </w:rPr>
      </w:pPr>
    </w:p>
    <w:p w14:paraId="00DB3117" w14:textId="73F6DD66" w:rsidR="002F185C" w:rsidRPr="00102620" w:rsidRDefault="002F185C" w:rsidP="005879E3">
      <w:pPr>
        <w:jc w:val="left"/>
        <w:rPr>
          <w:rFonts w:ascii="Times New Roman" w:hAnsi="Times New Roman" w:cs="Times New Roman"/>
          <w:sz w:val="24"/>
          <w:szCs w:val="24"/>
        </w:rPr>
      </w:pPr>
    </w:p>
    <w:p w14:paraId="60988C0A" w14:textId="574135EC" w:rsidR="002F185C" w:rsidRPr="00102620" w:rsidRDefault="002F185C" w:rsidP="005879E3">
      <w:pPr>
        <w:jc w:val="left"/>
        <w:rPr>
          <w:rFonts w:ascii="Times New Roman" w:hAnsi="Times New Roman" w:cs="Times New Roman"/>
          <w:sz w:val="24"/>
          <w:szCs w:val="24"/>
        </w:rPr>
      </w:pPr>
    </w:p>
    <w:p w14:paraId="7BBE73D9" w14:textId="546F5939" w:rsidR="002F185C" w:rsidRPr="00102620" w:rsidRDefault="002F185C" w:rsidP="005879E3">
      <w:pPr>
        <w:jc w:val="left"/>
        <w:rPr>
          <w:rFonts w:ascii="Times New Roman" w:hAnsi="Times New Roman" w:cs="Times New Roman"/>
          <w:sz w:val="24"/>
          <w:szCs w:val="24"/>
        </w:rPr>
      </w:pPr>
    </w:p>
    <w:p w14:paraId="4EBEB041" w14:textId="047C9192" w:rsidR="002F185C" w:rsidRPr="00102620" w:rsidRDefault="002F185C" w:rsidP="005879E3">
      <w:pPr>
        <w:jc w:val="left"/>
        <w:rPr>
          <w:rFonts w:ascii="Times New Roman" w:hAnsi="Times New Roman" w:cs="Times New Roman"/>
          <w:sz w:val="24"/>
          <w:szCs w:val="24"/>
        </w:rPr>
      </w:pPr>
    </w:p>
    <w:p w14:paraId="39E94D5B" w14:textId="46496231" w:rsidR="002F185C" w:rsidRPr="00102620" w:rsidRDefault="002F185C" w:rsidP="005879E3">
      <w:pPr>
        <w:jc w:val="left"/>
        <w:rPr>
          <w:rFonts w:ascii="Times New Roman" w:hAnsi="Times New Roman" w:cs="Times New Roman"/>
          <w:sz w:val="24"/>
          <w:szCs w:val="24"/>
        </w:rPr>
      </w:pPr>
    </w:p>
    <w:p w14:paraId="0848CC3E" w14:textId="6BD02337" w:rsidR="002F185C" w:rsidRPr="00102620" w:rsidRDefault="002F185C" w:rsidP="005879E3">
      <w:pPr>
        <w:jc w:val="left"/>
        <w:rPr>
          <w:rFonts w:ascii="Times New Roman" w:hAnsi="Times New Roman" w:cs="Times New Roman"/>
          <w:sz w:val="24"/>
          <w:szCs w:val="24"/>
        </w:rPr>
      </w:pPr>
    </w:p>
    <w:p w14:paraId="2AE3D3C4" w14:textId="013FD781" w:rsidR="002F185C" w:rsidRPr="00102620" w:rsidRDefault="002F185C" w:rsidP="005879E3">
      <w:pPr>
        <w:jc w:val="left"/>
        <w:rPr>
          <w:rFonts w:ascii="Times New Roman" w:hAnsi="Times New Roman" w:cs="Times New Roman"/>
          <w:sz w:val="24"/>
          <w:szCs w:val="24"/>
        </w:rPr>
      </w:pPr>
    </w:p>
    <w:p w14:paraId="093B266A" w14:textId="3D3D6CFA" w:rsidR="002F185C" w:rsidRPr="00102620" w:rsidRDefault="002F185C" w:rsidP="005879E3">
      <w:pPr>
        <w:jc w:val="left"/>
        <w:rPr>
          <w:rFonts w:ascii="Times New Roman" w:hAnsi="Times New Roman" w:cs="Times New Roman"/>
          <w:sz w:val="24"/>
          <w:szCs w:val="24"/>
        </w:rPr>
      </w:pPr>
    </w:p>
    <w:p w14:paraId="788A8833" w14:textId="7597F8B9" w:rsidR="002F185C" w:rsidRPr="00102620" w:rsidRDefault="002F185C" w:rsidP="005879E3">
      <w:pPr>
        <w:jc w:val="left"/>
        <w:rPr>
          <w:rFonts w:ascii="Times New Roman" w:hAnsi="Times New Roman" w:cs="Times New Roman"/>
          <w:sz w:val="24"/>
          <w:szCs w:val="24"/>
        </w:rPr>
      </w:pPr>
    </w:p>
    <w:p w14:paraId="622DB622" w14:textId="0EB129F8" w:rsidR="002F185C" w:rsidRPr="00102620" w:rsidRDefault="002F185C" w:rsidP="005879E3">
      <w:pPr>
        <w:jc w:val="left"/>
        <w:rPr>
          <w:rFonts w:ascii="Times New Roman" w:hAnsi="Times New Roman" w:cs="Times New Roman"/>
          <w:sz w:val="24"/>
          <w:szCs w:val="24"/>
        </w:rPr>
      </w:pPr>
    </w:p>
    <w:p w14:paraId="3DA3CCFC" w14:textId="4FFBBABC" w:rsidR="002F185C" w:rsidRPr="00102620" w:rsidRDefault="002F185C" w:rsidP="005879E3">
      <w:pPr>
        <w:jc w:val="left"/>
        <w:rPr>
          <w:rFonts w:ascii="Times New Roman" w:hAnsi="Times New Roman" w:cs="Times New Roman"/>
          <w:sz w:val="24"/>
          <w:szCs w:val="24"/>
        </w:rPr>
      </w:pPr>
    </w:p>
    <w:p w14:paraId="07379A50" w14:textId="7B27A4A2" w:rsidR="002F185C" w:rsidRPr="00102620" w:rsidRDefault="002F185C" w:rsidP="005879E3">
      <w:pPr>
        <w:jc w:val="left"/>
        <w:rPr>
          <w:rFonts w:ascii="Times New Roman" w:hAnsi="Times New Roman" w:cs="Times New Roman"/>
          <w:sz w:val="24"/>
          <w:szCs w:val="24"/>
        </w:rPr>
      </w:pPr>
    </w:p>
    <w:p w14:paraId="3AE3D62F" w14:textId="519CA250" w:rsidR="002F185C" w:rsidRPr="00102620" w:rsidRDefault="002F185C" w:rsidP="005879E3">
      <w:pPr>
        <w:jc w:val="left"/>
        <w:rPr>
          <w:rFonts w:ascii="Times New Roman" w:hAnsi="Times New Roman" w:cs="Times New Roman"/>
          <w:sz w:val="24"/>
          <w:szCs w:val="24"/>
        </w:rPr>
      </w:pPr>
    </w:p>
    <w:p w14:paraId="010BBDB8" w14:textId="3A79E97A" w:rsidR="002F185C" w:rsidRPr="00102620" w:rsidRDefault="002F185C" w:rsidP="005879E3">
      <w:pPr>
        <w:jc w:val="left"/>
        <w:rPr>
          <w:rFonts w:ascii="Times New Roman" w:hAnsi="Times New Roman" w:cs="Times New Roman"/>
          <w:sz w:val="24"/>
          <w:szCs w:val="24"/>
        </w:rPr>
      </w:pPr>
    </w:p>
    <w:p w14:paraId="71FEB88C" w14:textId="53FAC640" w:rsidR="002F185C" w:rsidRPr="00102620" w:rsidRDefault="002F185C" w:rsidP="005879E3">
      <w:pPr>
        <w:jc w:val="left"/>
        <w:rPr>
          <w:rFonts w:ascii="Times New Roman" w:hAnsi="Times New Roman" w:cs="Times New Roman"/>
          <w:sz w:val="24"/>
          <w:szCs w:val="24"/>
        </w:rPr>
      </w:pPr>
    </w:p>
    <w:p w14:paraId="56945499" w14:textId="137E5923" w:rsidR="002F185C" w:rsidRPr="00102620" w:rsidRDefault="002F185C" w:rsidP="005879E3">
      <w:pPr>
        <w:jc w:val="left"/>
        <w:rPr>
          <w:rFonts w:ascii="Times New Roman" w:hAnsi="Times New Roman" w:cs="Times New Roman"/>
          <w:sz w:val="24"/>
          <w:szCs w:val="24"/>
        </w:rPr>
      </w:pPr>
    </w:p>
    <w:p w14:paraId="712E483D" w14:textId="179632AA" w:rsidR="002F185C" w:rsidRPr="00102620" w:rsidRDefault="002F185C" w:rsidP="005879E3">
      <w:pPr>
        <w:jc w:val="left"/>
        <w:rPr>
          <w:rFonts w:ascii="Times New Roman" w:hAnsi="Times New Roman" w:cs="Times New Roman"/>
          <w:sz w:val="24"/>
          <w:szCs w:val="24"/>
        </w:rPr>
      </w:pPr>
    </w:p>
    <w:p w14:paraId="782269D0" w14:textId="5B424A65" w:rsidR="002F185C" w:rsidRPr="00102620" w:rsidRDefault="002F185C" w:rsidP="005879E3">
      <w:pPr>
        <w:jc w:val="left"/>
        <w:rPr>
          <w:rFonts w:ascii="Times New Roman" w:hAnsi="Times New Roman" w:cs="Times New Roman"/>
          <w:sz w:val="24"/>
          <w:szCs w:val="24"/>
        </w:rPr>
      </w:pPr>
    </w:p>
    <w:p w14:paraId="192CEC05" w14:textId="6B6741CC" w:rsidR="002F185C" w:rsidRPr="00102620" w:rsidRDefault="002F185C" w:rsidP="005879E3">
      <w:pPr>
        <w:jc w:val="left"/>
        <w:rPr>
          <w:rFonts w:ascii="Times New Roman" w:hAnsi="Times New Roman" w:cs="Times New Roman"/>
          <w:sz w:val="24"/>
          <w:szCs w:val="24"/>
        </w:rPr>
      </w:pPr>
    </w:p>
    <w:p w14:paraId="741F180E" w14:textId="7C97C3C9" w:rsidR="00240BB6" w:rsidRPr="00102620" w:rsidRDefault="009D2D50" w:rsidP="005879E3">
      <w:pPr>
        <w:jc w:val="left"/>
        <w:rPr>
          <w:rFonts w:ascii="Times New Roman" w:hAnsi="Times New Roman" w:cs="Times New Roman"/>
          <w:b/>
          <w:bCs/>
          <w:sz w:val="24"/>
          <w:szCs w:val="24"/>
        </w:rPr>
      </w:pPr>
      <w:r w:rsidRPr="00102620">
        <w:rPr>
          <w:rFonts w:ascii="Times New Roman" w:hAnsi="Times New Roman" w:cs="Times New Roman"/>
          <w:b/>
          <w:bCs/>
          <w:sz w:val="24"/>
          <w:szCs w:val="24"/>
        </w:rPr>
        <w:t>Section 1 General Information and Synthesis Procedures</w:t>
      </w:r>
    </w:p>
    <w:p w14:paraId="3394966D" w14:textId="665B9B60" w:rsidR="00240BB6" w:rsidRPr="00102620" w:rsidRDefault="00240BB6" w:rsidP="005879E3">
      <w:pPr>
        <w:jc w:val="left"/>
        <w:rPr>
          <w:rFonts w:ascii="Times New Roman" w:hAnsi="Times New Roman" w:cs="Times New Roman"/>
          <w:sz w:val="24"/>
          <w:szCs w:val="24"/>
        </w:rPr>
      </w:pPr>
    </w:p>
    <w:p w14:paraId="498DCFBB" w14:textId="6635C50E" w:rsidR="00E45C0E" w:rsidRPr="00102620" w:rsidRDefault="009D2D50" w:rsidP="00E45C0E">
      <w:pPr>
        <w:jc w:val="left"/>
        <w:rPr>
          <w:rFonts w:ascii="Times New Roman" w:hAnsi="Times New Roman" w:cs="Times New Roman"/>
          <w:sz w:val="24"/>
          <w:szCs w:val="24"/>
        </w:rPr>
      </w:pPr>
      <w:r w:rsidRPr="00102620">
        <w:rPr>
          <w:rFonts w:ascii="Times New Roman" w:hAnsi="Times New Roman" w:cs="Times New Roman"/>
          <w:sz w:val="24"/>
          <w:szCs w:val="24"/>
        </w:rPr>
        <w:t>1.</w:t>
      </w:r>
      <w:r w:rsidR="00E45C0E" w:rsidRPr="00102620">
        <w:rPr>
          <w:rFonts w:ascii="Times New Roman" w:hAnsi="Times New Roman" w:cs="Times New Roman"/>
          <w:sz w:val="24"/>
          <w:szCs w:val="24"/>
        </w:rPr>
        <w:t xml:space="preserve">Synthesis of </w:t>
      </w:r>
      <w:r w:rsidRPr="00102620">
        <w:rPr>
          <w:rFonts w:ascii="Times New Roman" w:hAnsi="Times New Roman" w:cs="Times New Roman"/>
          <w:sz w:val="24"/>
          <w:szCs w:val="24"/>
        </w:rPr>
        <w:t>terephthalic hydrazide</w:t>
      </w:r>
      <w:r w:rsidR="00E45C0E" w:rsidRPr="00102620">
        <w:rPr>
          <w:rFonts w:ascii="Times New Roman" w:hAnsi="Times New Roman" w:cs="Times New Roman"/>
          <w:sz w:val="24"/>
          <w:szCs w:val="24"/>
        </w:rPr>
        <w:t xml:space="preserve"> (</w:t>
      </w:r>
      <w:r w:rsidRPr="00102620">
        <w:rPr>
          <w:rFonts w:ascii="Times New Roman" w:hAnsi="Times New Roman" w:cs="Times New Roman"/>
          <w:sz w:val="24"/>
          <w:szCs w:val="24"/>
        </w:rPr>
        <w:t>HT</w:t>
      </w:r>
      <w:r w:rsidR="00E45C0E" w:rsidRPr="00102620">
        <w:rPr>
          <w:rFonts w:ascii="Times New Roman" w:hAnsi="Times New Roman" w:cs="Times New Roman"/>
          <w:sz w:val="24"/>
          <w:szCs w:val="24"/>
        </w:rPr>
        <w:t>)</w:t>
      </w:r>
    </w:p>
    <w:p w14:paraId="4476EBB9" w14:textId="77777777" w:rsidR="009D2D50" w:rsidRPr="00102620" w:rsidRDefault="009D2D50" w:rsidP="00E45C0E">
      <w:pPr>
        <w:jc w:val="left"/>
        <w:rPr>
          <w:rFonts w:ascii="Times New Roman" w:hAnsi="Times New Roman" w:cs="Times New Roman"/>
          <w:sz w:val="24"/>
          <w:szCs w:val="24"/>
        </w:rPr>
      </w:pPr>
    </w:p>
    <w:p w14:paraId="6C341404" w14:textId="4722C7E9" w:rsidR="00E45C0E" w:rsidRPr="00102620" w:rsidRDefault="00E45C0E" w:rsidP="000A65C7">
      <w:pPr>
        <w:rPr>
          <w:rFonts w:ascii="Times New Roman" w:hAnsi="Times New Roman" w:cs="Times New Roman"/>
          <w:sz w:val="24"/>
          <w:szCs w:val="24"/>
        </w:rPr>
      </w:pPr>
      <w:r w:rsidRPr="00102620">
        <w:rPr>
          <w:rFonts w:ascii="Times New Roman" w:hAnsi="Times New Roman" w:cs="Times New Roman"/>
          <w:sz w:val="24"/>
          <w:szCs w:val="24"/>
        </w:rPr>
        <w:t>A mixture of p-phthalic acid (</w:t>
      </w:r>
      <w:r w:rsidR="00E034FC" w:rsidRPr="00102620">
        <w:rPr>
          <w:rFonts w:ascii="Times New Roman" w:hAnsi="Times New Roman" w:cs="Times New Roman"/>
          <w:sz w:val="24"/>
          <w:szCs w:val="24"/>
        </w:rPr>
        <w:t>2.3</w:t>
      </w:r>
      <w:r w:rsidRPr="00102620">
        <w:rPr>
          <w:rFonts w:ascii="Times New Roman" w:hAnsi="Times New Roman" w:cs="Times New Roman"/>
          <w:sz w:val="24"/>
          <w:szCs w:val="24"/>
        </w:rPr>
        <w:t> g, 12.5 mmol), methanol (</w:t>
      </w:r>
      <w:r w:rsidR="00E034FC" w:rsidRPr="00102620">
        <w:rPr>
          <w:rFonts w:ascii="Times New Roman" w:hAnsi="Times New Roman" w:cs="Times New Roman"/>
          <w:sz w:val="24"/>
          <w:szCs w:val="24"/>
        </w:rPr>
        <w:t>50</w:t>
      </w:r>
      <w:r w:rsidRPr="00102620">
        <w:rPr>
          <w:rFonts w:ascii="Times New Roman" w:hAnsi="Times New Roman" w:cs="Times New Roman"/>
          <w:sz w:val="24"/>
          <w:szCs w:val="24"/>
        </w:rPr>
        <w:t> ml) and H</w:t>
      </w:r>
      <w:r w:rsidRPr="00102620">
        <w:rPr>
          <w:rFonts w:ascii="Times New Roman" w:hAnsi="Times New Roman" w:cs="Times New Roman"/>
          <w:sz w:val="24"/>
          <w:szCs w:val="24"/>
          <w:vertAlign w:val="subscript"/>
        </w:rPr>
        <w:t>2</w:t>
      </w:r>
      <w:r w:rsidRPr="00102620">
        <w:rPr>
          <w:rFonts w:ascii="Times New Roman" w:hAnsi="Times New Roman" w:cs="Times New Roman"/>
          <w:sz w:val="24"/>
          <w:szCs w:val="24"/>
        </w:rPr>
        <w:t>SO</w:t>
      </w:r>
      <w:r w:rsidRPr="00102620">
        <w:rPr>
          <w:rFonts w:ascii="Times New Roman" w:hAnsi="Times New Roman" w:cs="Times New Roman"/>
          <w:sz w:val="24"/>
          <w:szCs w:val="24"/>
          <w:vertAlign w:val="subscript"/>
        </w:rPr>
        <w:t xml:space="preserve">4 </w:t>
      </w:r>
      <w:r w:rsidRPr="00102620">
        <w:rPr>
          <w:rFonts w:ascii="Times New Roman" w:hAnsi="Times New Roman" w:cs="Times New Roman"/>
          <w:sz w:val="24"/>
          <w:szCs w:val="24"/>
        </w:rPr>
        <w:t>(</w:t>
      </w:r>
      <w:r w:rsidR="00E034FC" w:rsidRPr="00102620">
        <w:rPr>
          <w:rFonts w:ascii="Times New Roman" w:hAnsi="Times New Roman" w:cs="Times New Roman"/>
          <w:sz w:val="24"/>
          <w:szCs w:val="24"/>
        </w:rPr>
        <w:t>1</w:t>
      </w:r>
      <w:r w:rsidRPr="00102620">
        <w:rPr>
          <w:rFonts w:ascii="Times New Roman" w:hAnsi="Times New Roman" w:cs="Times New Roman"/>
          <w:sz w:val="24"/>
          <w:szCs w:val="24"/>
        </w:rPr>
        <w:t> ml) was heated to reflux for 4 h. The solution was evaporated under vacuum. The residue was dissolved in 150 ml CHCl</w:t>
      </w:r>
      <w:r w:rsidRPr="00102620">
        <w:rPr>
          <w:rFonts w:ascii="Times New Roman" w:hAnsi="Times New Roman" w:cs="Times New Roman"/>
          <w:sz w:val="24"/>
          <w:szCs w:val="24"/>
          <w:vertAlign w:val="subscript"/>
        </w:rPr>
        <w:t>3</w:t>
      </w:r>
      <w:r w:rsidRPr="00102620">
        <w:rPr>
          <w:rFonts w:ascii="Times New Roman" w:hAnsi="Times New Roman" w:cs="Times New Roman"/>
          <w:sz w:val="24"/>
          <w:szCs w:val="24"/>
        </w:rPr>
        <w:t xml:space="preserve"> and extracted with saturated sodium bicarbonate solution. The solvent was removed by rotary evaporation and given the product as a white solid (</w:t>
      </w:r>
      <w:r w:rsidR="00E034FC" w:rsidRPr="00102620">
        <w:rPr>
          <w:rFonts w:ascii="Times New Roman" w:hAnsi="Times New Roman" w:cs="Times New Roman"/>
          <w:sz w:val="24"/>
          <w:szCs w:val="24"/>
        </w:rPr>
        <w:t>2.4</w:t>
      </w:r>
      <w:r w:rsidRPr="00102620">
        <w:rPr>
          <w:rFonts w:ascii="Times New Roman" w:hAnsi="Times New Roman" w:cs="Times New Roman"/>
          <w:sz w:val="24"/>
          <w:szCs w:val="24"/>
        </w:rPr>
        <w:t> g, 93%). The product was used directly for the next step without further purification.</w:t>
      </w:r>
    </w:p>
    <w:p w14:paraId="6364B286" w14:textId="6D9EA129" w:rsidR="00240BB6" w:rsidRPr="00102620" w:rsidRDefault="00E45C0E" w:rsidP="000A65C7">
      <w:pPr>
        <w:rPr>
          <w:rFonts w:ascii="Times New Roman" w:hAnsi="Times New Roman" w:cs="Times New Roman"/>
          <w:sz w:val="24"/>
          <w:szCs w:val="24"/>
        </w:rPr>
      </w:pPr>
      <w:r w:rsidRPr="00102620">
        <w:rPr>
          <w:rFonts w:ascii="Times New Roman" w:hAnsi="Times New Roman" w:cs="Times New Roman"/>
          <w:sz w:val="24"/>
          <w:szCs w:val="24"/>
        </w:rPr>
        <w:t>Dimethyl terephthalate (DMT) (</w:t>
      </w:r>
      <w:r w:rsidR="00E034FC" w:rsidRPr="00102620">
        <w:rPr>
          <w:rFonts w:ascii="Times New Roman" w:hAnsi="Times New Roman" w:cs="Times New Roman"/>
          <w:sz w:val="24"/>
          <w:szCs w:val="24"/>
        </w:rPr>
        <w:t>1</w:t>
      </w:r>
      <w:r w:rsidRPr="00102620">
        <w:rPr>
          <w:rFonts w:ascii="Times New Roman" w:hAnsi="Times New Roman" w:cs="Times New Roman"/>
          <w:sz w:val="24"/>
          <w:szCs w:val="24"/>
        </w:rPr>
        <w:t> g, 15 mmol), methanol (</w:t>
      </w:r>
      <w:r w:rsidR="00E034FC" w:rsidRPr="00102620">
        <w:rPr>
          <w:rFonts w:ascii="Times New Roman" w:hAnsi="Times New Roman" w:cs="Times New Roman"/>
          <w:sz w:val="24"/>
          <w:szCs w:val="24"/>
        </w:rPr>
        <w:t>10</w:t>
      </w:r>
      <w:r w:rsidRPr="00102620">
        <w:rPr>
          <w:rFonts w:ascii="Times New Roman" w:hAnsi="Times New Roman" w:cs="Times New Roman"/>
          <w:sz w:val="24"/>
          <w:szCs w:val="24"/>
        </w:rPr>
        <w:t> ml), toluene (</w:t>
      </w:r>
      <w:r w:rsidR="00E034FC" w:rsidRPr="00102620">
        <w:rPr>
          <w:rFonts w:ascii="Times New Roman" w:hAnsi="Times New Roman" w:cs="Times New Roman"/>
          <w:sz w:val="24"/>
          <w:szCs w:val="24"/>
        </w:rPr>
        <w:t>10</w:t>
      </w:r>
      <w:r w:rsidRPr="00102620">
        <w:rPr>
          <w:rFonts w:ascii="Times New Roman" w:hAnsi="Times New Roman" w:cs="Times New Roman"/>
          <w:sz w:val="24"/>
          <w:szCs w:val="24"/>
        </w:rPr>
        <w:t> ml) and Hydrazine hydrate (85%) (</w:t>
      </w:r>
      <w:r w:rsidR="00E034FC" w:rsidRPr="00102620">
        <w:rPr>
          <w:rFonts w:ascii="Times New Roman" w:hAnsi="Times New Roman" w:cs="Times New Roman"/>
          <w:sz w:val="24"/>
          <w:szCs w:val="24"/>
        </w:rPr>
        <w:t>6.7</w:t>
      </w:r>
      <w:r w:rsidRPr="00102620">
        <w:rPr>
          <w:rFonts w:ascii="Times New Roman" w:hAnsi="Times New Roman" w:cs="Times New Roman"/>
          <w:sz w:val="24"/>
          <w:szCs w:val="24"/>
        </w:rPr>
        <w:t> ml) were heated to reflux for 24 h under N</w:t>
      </w:r>
      <w:r w:rsidRPr="00102620">
        <w:rPr>
          <w:rFonts w:ascii="Times New Roman" w:hAnsi="Times New Roman" w:cs="Times New Roman"/>
          <w:sz w:val="24"/>
          <w:szCs w:val="24"/>
          <w:vertAlign w:val="subscript"/>
        </w:rPr>
        <w:t>2</w:t>
      </w:r>
      <w:r w:rsidRPr="00102620">
        <w:rPr>
          <w:rFonts w:ascii="Times New Roman" w:hAnsi="Times New Roman" w:cs="Times New Roman"/>
          <w:sz w:val="24"/>
          <w:szCs w:val="24"/>
        </w:rPr>
        <w:t xml:space="preserve"> atmosphere. The product precipitated during the reaction process and collected by filtration, washed with methanol and toluene, given the white solid (</w:t>
      </w:r>
      <w:r w:rsidR="00E034FC" w:rsidRPr="00102620">
        <w:rPr>
          <w:rFonts w:ascii="Times New Roman" w:hAnsi="Times New Roman" w:cs="Times New Roman"/>
          <w:sz w:val="24"/>
          <w:szCs w:val="24"/>
        </w:rPr>
        <w:t>0.85</w:t>
      </w:r>
      <w:r w:rsidRPr="00102620">
        <w:rPr>
          <w:rFonts w:ascii="Times New Roman" w:hAnsi="Times New Roman" w:cs="Times New Roman"/>
          <w:sz w:val="24"/>
          <w:szCs w:val="24"/>
        </w:rPr>
        <w:t xml:space="preserve"> g, </w:t>
      </w:r>
      <w:r w:rsidR="00E034FC" w:rsidRPr="00102620">
        <w:rPr>
          <w:rFonts w:ascii="Times New Roman" w:hAnsi="Times New Roman" w:cs="Times New Roman"/>
          <w:sz w:val="24"/>
          <w:szCs w:val="24"/>
        </w:rPr>
        <w:t>85</w:t>
      </w:r>
      <w:r w:rsidRPr="00102620">
        <w:rPr>
          <w:rFonts w:ascii="Times New Roman" w:hAnsi="Times New Roman" w:cs="Times New Roman"/>
          <w:sz w:val="24"/>
          <w:szCs w:val="24"/>
        </w:rPr>
        <w:t>%).1H NMR (d6-DMSO, 300 MHz) δ 9.86 (s, 2H), 7.86 (s, 4H), 4.56 (s, 4H).</w:t>
      </w:r>
    </w:p>
    <w:p w14:paraId="0DEF9DED" w14:textId="1C5C02E6" w:rsidR="00240BB6" w:rsidRPr="00102620" w:rsidRDefault="00240BB6" w:rsidP="005879E3">
      <w:pPr>
        <w:jc w:val="left"/>
        <w:rPr>
          <w:rFonts w:ascii="Times New Roman" w:hAnsi="Times New Roman" w:cs="Times New Roman"/>
          <w:sz w:val="24"/>
          <w:szCs w:val="24"/>
        </w:rPr>
      </w:pPr>
    </w:p>
    <w:p w14:paraId="10E7EF73" w14:textId="7E82C265" w:rsidR="00E034FC" w:rsidRPr="00102620" w:rsidRDefault="00E034FC" w:rsidP="00303EAB">
      <w:pPr>
        <w:jc w:val="center"/>
        <w:rPr>
          <w:rFonts w:ascii="Times New Roman" w:hAnsi="Times New Roman" w:cs="Times New Roman"/>
          <w:sz w:val="24"/>
          <w:szCs w:val="24"/>
        </w:rPr>
      </w:pPr>
      <w:r w:rsidRPr="00102620">
        <w:rPr>
          <w:rFonts w:ascii="Times New Roman" w:hAnsi="Times New Roman" w:cs="Times New Roman"/>
        </w:rPr>
        <w:object w:dxaOrig="7051" w:dyaOrig="2297" w14:anchorId="0DA49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114.75pt" o:ole="">
            <v:imagedata r:id="rId7" o:title=""/>
          </v:shape>
          <o:OLEObject Type="Embed" ProgID="ChemDraw.Document.6.0" ShapeID="_x0000_i1025" DrawAspect="Content" ObjectID="_1745220561" r:id="rId8"/>
        </w:object>
      </w:r>
    </w:p>
    <w:p w14:paraId="3931C6F5" w14:textId="494A3DDB" w:rsidR="00E034FC" w:rsidRPr="00102620" w:rsidRDefault="00E034FC" w:rsidP="00E034FC">
      <w:pPr>
        <w:jc w:val="center"/>
        <w:rPr>
          <w:rFonts w:ascii="Times New Roman" w:hAnsi="Times New Roman" w:cs="Times New Roman"/>
          <w:sz w:val="24"/>
          <w:szCs w:val="24"/>
        </w:rPr>
      </w:pPr>
      <w:r w:rsidRPr="00102620">
        <w:rPr>
          <w:rFonts w:ascii="Times New Roman" w:hAnsi="Times New Roman" w:cs="Times New Roman"/>
          <w:sz w:val="24"/>
          <w:szCs w:val="24"/>
        </w:rPr>
        <w:t>Synthesis of terephthalic hydrazide (HT)</w:t>
      </w:r>
    </w:p>
    <w:p w14:paraId="4033D1A0" w14:textId="77777777" w:rsidR="00E034FC" w:rsidRPr="00102620" w:rsidRDefault="00E034FC" w:rsidP="00E034FC">
      <w:pPr>
        <w:jc w:val="center"/>
        <w:rPr>
          <w:rFonts w:ascii="Times New Roman" w:hAnsi="Times New Roman" w:cs="Times New Roman"/>
          <w:sz w:val="24"/>
          <w:szCs w:val="24"/>
        </w:rPr>
      </w:pPr>
    </w:p>
    <w:p w14:paraId="1D74C93E" w14:textId="5AFCE27F" w:rsidR="00240BB6" w:rsidRPr="00102620" w:rsidRDefault="009D2D50" w:rsidP="005879E3">
      <w:pPr>
        <w:jc w:val="left"/>
        <w:rPr>
          <w:rFonts w:ascii="Times New Roman" w:hAnsi="Times New Roman" w:cs="Times New Roman"/>
          <w:sz w:val="24"/>
          <w:szCs w:val="24"/>
        </w:rPr>
      </w:pPr>
      <w:r w:rsidRPr="00102620">
        <w:rPr>
          <w:rFonts w:ascii="Times New Roman" w:hAnsi="Times New Roman" w:cs="Times New Roman"/>
          <w:sz w:val="24"/>
          <w:szCs w:val="24"/>
        </w:rPr>
        <w:t>2.</w:t>
      </w:r>
      <w:r w:rsidR="002F185C" w:rsidRPr="00102620">
        <w:rPr>
          <w:rFonts w:ascii="Times New Roman" w:hAnsi="Times New Roman" w:cs="Times New Roman"/>
        </w:rPr>
        <w:t xml:space="preserve"> </w:t>
      </w:r>
      <w:r w:rsidR="002F185C" w:rsidRPr="00102620">
        <w:rPr>
          <w:rFonts w:ascii="Times New Roman" w:hAnsi="Times New Roman" w:cs="Times New Roman"/>
          <w:sz w:val="24"/>
          <w:szCs w:val="24"/>
        </w:rPr>
        <w:t xml:space="preserve">The </w:t>
      </w:r>
      <w:bookmarkStart w:id="0" w:name="_Hlk119596664"/>
      <w:r w:rsidR="009065D8" w:rsidRPr="00102620">
        <w:rPr>
          <w:rFonts w:ascii="Times New Roman" w:hAnsi="Times New Roman" w:cs="Times New Roman"/>
          <w:sz w:val="24"/>
          <w:szCs w:val="24"/>
        </w:rPr>
        <w:t>pseudo-first-order and</w:t>
      </w:r>
      <w:bookmarkEnd w:id="0"/>
      <w:r w:rsidR="009065D8" w:rsidRPr="00102620">
        <w:rPr>
          <w:rFonts w:ascii="Times New Roman" w:hAnsi="Times New Roman" w:cs="Times New Roman"/>
          <w:sz w:val="24"/>
          <w:szCs w:val="24"/>
        </w:rPr>
        <w:t xml:space="preserve"> pseudo-second-order rate models</w:t>
      </w:r>
      <w:r w:rsidR="002F185C" w:rsidRPr="00102620">
        <w:rPr>
          <w:rFonts w:ascii="Times New Roman" w:hAnsi="Times New Roman" w:cs="Times New Roman"/>
          <w:sz w:val="24"/>
          <w:szCs w:val="24"/>
        </w:rPr>
        <w:t>.</w:t>
      </w:r>
    </w:p>
    <w:p w14:paraId="08392D21" w14:textId="492BD195" w:rsidR="00240BB6" w:rsidRPr="00102620" w:rsidRDefault="00240BB6" w:rsidP="005879E3">
      <w:pPr>
        <w:jc w:val="left"/>
        <w:rPr>
          <w:rFonts w:ascii="Times New Roman" w:hAnsi="Times New Roman" w:cs="Times New Roman"/>
          <w:sz w:val="24"/>
          <w:szCs w:val="24"/>
        </w:rPr>
      </w:pPr>
    </w:p>
    <w:p w14:paraId="1D881EF1" w14:textId="3FD0ACB2" w:rsidR="009065D8" w:rsidRPr="00102620" w:rsidRDefault="009065D8" w:rsidP="009065D8">
      <w:pPr>
        <w:rPr>
          <w:rFonts w:ascii="Times New Roman" w:hAnsi="Times New Roman" w:cs="Times New Roman"/>
          <w:sz w:val="24"/>
          <w:szCs w:val="24"/>
        </w:rPr>
      </w:pPr>
      <w:r w:rsidRPr="00102620">
        <w:rPr>
          <w:rFonts w:ascii="Times New Roman" w:hAnsi="Times New Roman" w:cs="Times New Roman"/>
          <w:sz w:val="24"/>
          <w:szCs w:val="24"/>
        </w:rPr>
        <w:t>In order to describe the kinetics of mercury ion adsorption, we use a pseudo-first-order and pseudo-second-order model to fit the data,</w:t>
      </w:r>
      <w:r w:rsidRPr="00102620">
        <w:rPr>
          <w:rFonts w:ascii="Times New Roman" w:hAnsi="Times New Roman" w:cs="Times New Roman"/>
        </w:rPr>
        <w:t xml:space="preserve"> </w:t>
      </w:r>
      <w:r w:rsidRPr="00102620">
        <w:rPr>
          <w:rFonts w:ascii="Times New Roman" w:hAnsi="Times New Roman" w:cs="Times New Roman"/>
          <w:sz w:val="24"/>
          <w:szCs w:val="24"/>
        </w:rPr>
        <w:t>which can be known from the following equations:</w:t>
      </w:r>
    </w:p>
    <w:p w14:paraId="0A17C378" w14:textId="77777777" w:rsidR="009065D8" w:rsidRPr="00102620" w:rsidRDefault="00B370DB" w:rsidP="009065D8">
      <w:pPr>
        <w:wordWrap w:val="0"/>
        <w:jc w:val="right"/>
        <w:rPr>
          <w:rFonts w:ascii="Times New Roman" w:hAnsi="Times New Roman" w:cs="Times New Roman"/>
          <w:sz w:val="24"/>
          <w:szCs w:val="24"/>
        </w:rPr>
      </w:pPr>
      <m:oMath>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t</m:t>
                </m:r>
              </m:sub>
            </m:sSub>
          </m:den>
        </m:f>
        <m:r>
          <m:rPr>
            <m:sty m:val="p"/>
          </m:rP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sSub>
              <m:sSubPr>
                <m:ctrlPr>
                  <w:rPr>
                    <w:rFonts w:ascii="Cambria Math" w:eastAsia="Cambria Math" w:hAnsi="Cambria Math" w:cs="Times New Roman"/>
                    <w:sz w:val="24"/>
                    <w:szCs w:val="24"/>
                  </w:rPr>
                </m:ctrlPr>
              </m:sSubPr>
              <m:e>
                <m:r>
                  <m:rPr>
                    <m:sty m:val="p"/>
                  </m:rPr>
                  <w:rPr>
                    <w:rFonts w:ascii="Cambria Math" w:eastAsia="Cambria Math" w:hAnsi="Cambria Math" w:cs="Times New Roman"/>
                    <w:sz w:val="24"/>
                    <w:szCs w:val="24"/>
                  </w:rPr>
                  <m:t>k</m:t>
                </m:r>
              </m:e>
              <m:sub>
                <m:r>
                  <w:rPr>
                    <w:rFonts w:ascii="Cambria Math" w:eastAsia="Cambria Math" w:hAnsi="Cambria Math" w:cs="Times New Roman"/>
                    <w:sz w:val="24"/>
                    <w:szCs w:val="24"/>
                  </w:rPr>
                  <m:t>1</m:t>
                </m:r>
              </m:sub>
            </m:sSub>
          </m:num>
          <m:den>
            <m:sSub>
              <m:sSubPr>
                <m:ctrlPr>
                  <w:rPr>
                    <w:rFonts w:ascii="Cambria Math" w:eastAsia="Cambria Math" w:hAnsi="Cambria Math" w:cs="Times New Roman"/>
                    <w:sz w:val="24"/>
                    <w:szCs w:val="24"/>
                  </w:rPr>
                </m:ctrlPr>
              </m:sSubPr>
              <m:e>
                <m:r>
                  <m:rPr>
                    <m:sty m:val="p"/>
                  </m:rPr>
                  <w:rPr>
                    <w:rFonts w:ascii="Cambria Math" w:eastAsia="Cambria Math" w:hAnsi="Cambria Math" w:cs="Times New Roman"/>
                    <w:sz w:val="24"/>
                    <w:szCs w:val="24"/>
                  </w:rPr>
                  <m:t>q</m:t>
                </m:r>
              </m:e>
              <m:sub>
                <m:r>
                  <w:rPr>
                    <w:rFonts w:ascii="Cambria Math" w:eastAsia="Cambria Math" w:hAnsi="Cambria Math" w:cs="Times New Roman"/>
                    <w:sz w:val="24"/>
                    <w:szCs w:val="24"/>
                  </w:rPr>
                  <m:t>e</m:t>
                </m:r>
              </m:sub>
            </m:sSub>
            <m:r>
              <w:rPr>
                <w:rFonts w:ascii="Cambria Math" w:eastAsia="Cambria Math" w:hAnsi="Cambria Math" w:cs="Times New Roman"/>
                <w:sz w:val="24"/>
                <w:szCs w:val="24"/>
              </w:rPr>
              <m:t>t</m:t>
            </m:r>
          </m:den>
        </m:f>
        <m:r>
          <w:rPr>
            <w:rFonts w:ascii="Cambria Math" w:eastAsia="Cambria Math" w:hAnsi="Cambria Math" w:cs="Times New Roman"/>
            <w:sz w:val="24"/>
            <w:szCs w:val="24"/>
          </w:rPr>
          <m:t>+</m:t>
        </m:r>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1</m:t>
            </m:r>
          </m:num>
          <m:den>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e</m:t>
                </m:r>
              </m:sub>
            </m:sSub>
          </m:den>
        </m:f>
      </m:oMath>
      <w:r w:rsidR="009065D8" w:rsidRPr="00102620">
        <w:rPr>
          <w:rFonts w:ascii="Times New Roman" w:hAnsi="Times New Roman" w:cs="Times New Roman"/>
          <w:sz w:val="24"/>
          <w:szCs w:val="24"/>
        </w:rPr>
        <w:t xml:space="preserve">                                       (1)</w:t>
      </w:r>
    </w:p>
    <w:p w14:paraId="4CB283BF" w14:textId="77777777" w:rsidR="009065D8" w:rsidRPr="00102620" w:rsidRDefault="009065D8" w:rsidP="009065D8">
      <w:pPr>
        <w:jc w:val="left"/>
        <w:rPr>
          <w:rFonts w:ascii="Times New Roman" w:hAnsi="Times New Roman" w:cs="Times New Roman"/>
          <w:sz w:val="24"/>
          <w:szCs w:val="24"/>
          <w:vertAlign w:val="superscript"/>
        </w:rPr>
      </w:pPr>
    </w:p>
    <w:p w14:paraId="77751638" w14:textId="77777777" w:rsidR="009065D8" w:rsidRPr="00102620" w:rsidRDefault="00B370DB" w:rsidP="009065D8">
      <w:pPr>
        <w:jc w:val="right"/>
        <w:rPr>
          <w:rFonts w:ascii="Times New Roman" w:hAnsi="Times New Roman" w:cs="Times New Roman"/>
          <w:sz w:val="24"/>
          <w:szCs w:val="24"/>
        </w:rPr>
      </w:pPr>
      <m:oMath>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t</m:t>
            </m:r>
          </m:num>
          <m:den>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t</m:t>
                </m:r>
              </m:sub>
            </m:sSub>
          </m:den>
        </m:f>
        <m:r>
          <m:rPr>
            <m:sty m:val="p"/>
          </m:rP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m:rPr>
                <m:sty m:val="p"/>
              </m:rPr>
              <w:rPr>
                <w:rFonts w:ascii="Cambria Math" w:eastAsia="Cambria Math" w:hAnsi="Cambria Math" w:cs="Times New Roman"/>
                <w:sz w:val="24"/>
                <w:szCs w:val="24"/>
              </w:rPr>
              <m:t>1</m:t>
            </m:r>
          </m:num>
          <m:den>
            <m:sSub>
              <m:sSubPr>
                <m:ctrlPr>
                  <w:rPr>
                    <w:rFonts w:ascii="Cambria Math" w:eastAsia="Cambria Math" w:hAnsi="Cambria Math" w:cs="Times New Roman"/>
                    <w:sz w:val="24"/>
                    <w:szCs w:val="24"/>
                  </w:rPr>
                </m:ctrlPr>
              </m:sSubPr>
              <m:e>
                <m:r>
                  <m:rPr>
                    <m:sty m:val="p"/>
                  </m:rPr>
                  <w:rPr>
                    <w:rFonts w:ascii="Cambria Math" w:eastAsia="Cambria Math" w:hAnsi="Cambria Math" w:cs="Times New Roman"/>
                    <w:sz w:val="24"/>
                    <w:szCs w:val="24"/>
                  </w:rPr>
                  <m:t>k</m:t>
                </m:r>
              </m:e>
              <m:sub>
                <m:r>
                  <w:rPr>
                    <w:rFonts w:ascii="Cambria Math" w:eastAsia="Cambria Math" w:hAnsi="Cambria Math" w:cs="Times New Roman"/>
                    <w:sz w:val="24"/>
                    <w:szCs w:val="24"/>
                  </w:rPr>
                  <m:t>2</m:t>
                </m:r>
              </m:sub>
            </m:sSub>
            <m:sSubSup>
              <m:sSubSupPr>
                <m:ctrlPr>
                  <w:rPr>
                    <w:rFonts w:ascii="Cambria Math" w:eastAsia="Cambria Math" w:hAnsi="Cambria Math" w:cs="Times New Roman"/>
                    <w:i/>
                    <w:sz w:val="24"/>
                    <w:szCs w:val="24"/>
                  </w:rPr>
                </m:ctrlPr>
              </m:sSubSupPr>
              <m:e>
                <m:r>
                  <w:rPr>
                    <w:rFonts w:ascii="Cambria Math" w:eastAsia="Cambria Math" w:hAnsi="Cambria Math" w:cs="Times New Roman"/>
                    <w:sz w:val="24"/>
                    <w:szCs w:val="24"/>
                  </w:rPr>
                  <m:t>q</m:t>
                </m:r>
              </m:e>
              <m:sub>
                <m:r>
                  <w:rPr>
                    <w:rFonts w:ascii="Cambria Math" w:eastAsia="Cambria Math" w:hAnsi="Cambria Math" w:cs="Times New Roman"/>
                    <w:sz w:val="24"/>
                    <w:szCs w:val="24"/>
                  </w:rPr>
                  <m:t>e</m:t>
                </m:r>
              </m:sub>
              <m:sup>
                <m:r>
                  <w:rPr>
                    <w:rFonts w:ascii="Cambria Math" w:eastAsia="Cambria Math" w:hAnsi="Cambria Math" w:cs="Times New Roman"/>
                    <w:sz w:val="24"/>
                    <w:szCs w:val="24"/>
                  </w:rPr>
                  <m:t>2</m:t>
                </m:r>
              </m:sup>
            </m:sSubSup>
          </m:den>
        </m:f>
        <m:r>
          <w:rPr>
            <w:rFonts w:ascii="Cambria Math" w:eastAsia="Cambria Math" w:hAnsi="Cambria Math" w:cs="Times New Roman"/>
            <w:sz w:val="24"/>
            <w:szCs w:val="24"/>
          </w:rPr>
          <m:t>+</m:t>
        </m:r>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t</m:t>
            </m:r>
          </m:num>
          <m:den>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q</m:t>
                </m:r>
              </m:e>
              <m:sub>
                <m:r>
                  <w:rPr>
                    <w:rFonts w:ascii="Cambria Math" w:eastAsia="Cambria Math" w:hAnsi="Cambria Math" w:cs="Times New Roman"/>
                    <w:sz w:val="24"/>
                    <w:szCs w:val="24"/>
                  </w:rPr>
                  <m:t>e</m:t>
                </m:r>
              </m:sub>
            </m:sSub>
          </m:den>
        </m:f>
      </m:oMath>
      <w:r w:rsidR="009065D8" w:rsidRPr="00102620">
        <w:rPr>
          <w:rFonts w:ascii="Times New Roman" w:hAnsi="Times New Roman" w:cs="Times New Roman"/>
          <w:sz w:val="24"/>
          <w:szCs w:val="24"/>
        </w:rPr>
        <w:t xml:space="preserve">                                      (2)</w:t>
      </w:r>
    </w:p>
    <w:p w14:paraId="61E24865" w14:textId="77777777" w:rsidR="009065D8" w:rsidRPr="00102620" w:rsidRDefault="009065D8" w:rsidP="009065D8">
      <w:pPr>
        <w:jc w:val="left"/>
        <w:rPr>
          <w:rFonts w:ascii="Times New Roman" w:hAnsi="Times New Roman" w:cs="Times New Roman"/>
          <w:sz w:val="24"/>
          <w:szCs w:val="24"/>
        </w:rPr>
      </w:pPr>
    </w:p>
    <w:p w14:paraId="31141AF8" w14:textId="410033D1" w:rsidR="003E305B" w:rsidRPr="00102620" w:rsidRDefault="009065D8" w:rsidP="000A65C7">
      <w:pPr>
        <w:rPr>
          <w:rFonts w:ascii="Times New Roman" w:hAnsi="Times New Roman" w:cs="Times New Roman"/>
          <w:sz w:val="24"/>
          <w:szCs w:val="24"/>
        </w:rPr>
      </w:pPr>
      <w:r w:rsidRPr="00102620">
        <w:rPr>
          <w:rFonts w:ascii="Times New Roman" w:hAnsi="Times New Roman" w:cs="Times New Roman"/>
          <w:sz w:val="24"/>
          <w:szCs w:val="24"/>
        </w:rPr>
        <w:t>In the formula, k</w:t>
      </w:r>
      <w:r w:rsidRPr="00102620">
        <w:rPr>
          <w:rFonts w:ascii="Times New Roman" w:hAnsi="Times New Roman" w:cs="Times New Roman"/>
          <w:sz w:val="24"/>
          <w:szCs w:val="24"/>
          <w:vertAlign w:val="subscript"/>
        </w:rPr>
        <w:t>1</w:t>
      </w:r>
      <w:r w:rsidRPr="00102620">
        <w:rPr>
          <w:rFonts w:ascii="Times New Roman" w:hAnsi="Times New Roman" w:cs="Times New Roman"/>
          <w:sz w:val="24"/>
          <w:szCs w:val="24"/>
        </w:rPr>
        <w:t xml:space="preserve"> (min</w:t>
      </w:r>
      <w:r w:rsidRPr="00102620">
        <w:rPr>
          <w:rFonts w:ascii="Times New Roman" w:hAnsi="Times New Roman" w:cs="Times New Roman"/>
          <w:sz w:val="24"/>
          <w:szCs w:val="24"/>
          <w:vertAlign w:val="superscript"/>
        </w:rPr>
        <w:t>–1</w:t>
      </w:r>
      <w:r w:rsidRPr="00102620">
        <w:rPr>
          <w:rFonts w:ascii="Times New Roman" w:hAnsi="Times New Roman" w:cs="Times New Roman"/>
          <w:sz w:val="24"/>
          <w:szCs w:val="24"/>
        </w:rPr>
        <w:t>) and k</w:t>
      </w:r>
      <w:r w:rsidRPr="00102620">
        <w:rPr>
          <w:rFonts w:ascii="Times New Roman" w:hAnsi="Times New Roman" w:cs="Times New Roman"/>
          <w:sz w:val="24"/>
          <w:szCs w:val="24"/>
          <w:vertAlign w:val="subscript"/>
        </w:rPr>
        <w:t>2</w:t>
      </w:r>
      <w:r w:rsidRPr="00102620">
        <w:rPr>
          <w:rFonts w:ascii="Times New Roman" w:hAnsi="Times New Roman" w:cs="Times New Roman"/>
          <w:sz w:val="24"/>
          <w:szCs w:val="24"/>
        </w:rPr>
        <w:t xml:space="preserve"> (mg g</w:t>
      </w:r>
      <w:r w:rsidRPr="00102620">
        <w:rPr>
          <w:rFonts w:ascii="Times New Roman" w:hAnsi="Times New Roman" w:cs="Times New Roman"/>
          <w:sz w:val="24"/>
          <w:szCs w:val="24"/>
          <w:vertAlign w:val="superscript"/>
        </w:rPr>
        <w:t>–1</w:t>
      </w:r>
      <w:r w:rsidRPr="00102620">
        <w:rPr>
          <w:rFonts w:ascii="Times New Roman" w:hAnsi="Times New Roman" w:cs="Times New Roman"/>
          <w:sz w:val="24"/>
          <w:szCs w:val="24"/>
        </w:rPr>
        <w:t xml:space="preserve"> min</w:t>
      </w:r>
      <w:r w:rsidRPr="00102620">
        <w:rPr>
          <w:rFonts w:ascii="Times New Roman" w:hAnsi="Times New Roman" w:cs="Times New Roman"/>
          <w:sz w:val="24"/>
          <w:szCs w:val="24"/>
          <w:vertAlign w:val="superscript"/>
        </w:rPr>
        <w:t>–1</w:t>
      </w:r>
      <w:r w:rsidRPr="00102620">
        <w:rPr>
          <w:rFonts w:ascii="Times New Roman" w:hAnsi="Times New Roman" w:cs="Times New Roman"/>
          <w:sz w:val="24"/>
          <w:szCs w:val="24"/>
        </w:rPr>
        <w:t>) are the rate constants for the pseudo-first-order and the pseudo-second-order models, respectively. q</w:t>
      </w:r>
      <w:r w:rsidRPr="00102620">
        <w:rPr>
          <w:rFonts w:ascii="Times New Roman" w:hAnsi="Times New Roman" w:cs="Times New Roman"/>
          <w:sz w:val="24"/>
          <w:szCs w:val="24"/>
          <w:vertAlign w:val="subscript"/>
        </w:rPr>
        <w:t>t</w:t>
      </w:r>
      <w:r w:rsidRPr="00102620">
        <w:rPr>
          <w:rFonts w:ascii="Times New Roman" w:hAnsi="Times New Roman" w:cs="Times New Roman"/>
          <w:sz w:val="24"/>
          <w:szCs w:val="24"/>
        </w:rPr>
        <w:t xml:space="preserve"> (mg g</w:t>
      </w:r>
      <w:r w:rsidRPr="00102620">
        <w:rPr>
          <w:rFonts w:ascii="Times New Roman" w:hAnsi="Times New Roman" w:cs="Times New Roman"/>
          <w:sz w:val="24"/>
          <w:szCs w:val="24"/>
          <w:vertAlign w:val="superscript"/>
        </w:rPr>
        <w:t>−1</w:t>
      </w:r>
      <w:r w:rsidRPr="00102620">
        <w:rPr>
          <w:rFonts w:ascii="Times New Roman" w:hAnsi="Times New Roman" w:cs="Times New Roman"/>
          <w:sz w:val="24"/>
          <w:szCs w:val="24"/>
        </w:rPr>
        <w:t xml:space="preserve">) and </w:t>
      </w:r>
      <w:proofErr w:type="spellStart"/>
      <w:r w:rsidRPr="00102620">
        <w:rPr>
          <w:rFonts w:ascii="Times New Roman" w:hAnsi="Times New Roman" w:cs="Times New Roman"/>
          <w:sz w:val="24"/>
          <w:szCs w:val="24"/>
        </w:rPr>
        <w:t>q</w:t>
      </w:r>
      <w:r w:rsidRPr="00102620">
        <w:rPr>
          <w:rFonts w:ascii="Times New Roman" w:hAnsi="Times New Roman" w:cs="Times New Roman"/>
          <w:sz w:val="24"/>
          <w:szCs w:val="24"/>
          <w:vertAlign w:val="subscript"/>
        </w:rPr>
        <w:t>e</w:t>
      </w:r>
      <w:proofErr w:type="spellEnd"/>
      <w:r w:rsidRPr="00102620">
        <w:rPr>
          <w:rFonts w:ascii="Times New Roman" w:hAnsi="Times New Roman" w:cs="Times New Roman"/>
          <w:sz w:val="24"/>
          <w:szCs w:val="24"/>
        </w:rPr>
        <w:t xml:space="preserve"> (mg g</w:t>
      </w:r>
      <w:r w:rsidRPr="00102620">
        <w:rPr>
          <w:rFonts w:ascii="Times New Roman" w:hAnsi="Times New Roman" w:cs="Times New Roman"/>
          <w:sz w:val="24"/>
          <w:szCs w:val="24"/>
          <w:vertAlign w:val="superscript"/>
        </w:rPr>
        <w:t>−1</w:t>
      </w:r>
      <w:r w:rsidRPr="00102620">
        <w:rPr>
          <w:rFonts w:ascii="Times New Roman" w:hAnsi="Times New Roman" w:cs="Times New Roman"/>
          <w:sz w:val="24"/>
          <w:szCs w:val="24"/>
        </w:rPr>
        <w:t>) are the amount of mercury adsorbed at time t (min) and at equilibrium, respectively. The initial adsorption rate h (k</w:t>
      </w:r>
      <w:r w:rsidRPr="00102620">
        <w:rPr>
          <w:rFonts w:ascii="Times New Roman" w:hAnsi="Times New Roman" w:cs="Times New Roman"/>
          <w:sz w:val="24"/>
          <w:szCs w:val="24"/>
          <w:vertAlign w:val="subscript"/>
        </w:rPr>
        <w:t>2</w:t>
      </w:r>
      <w:r w:rsidRPr="00102620">
        <w:rPr>
          <w:rFonts w:ascii="Times New Roman" w:hAnsi="Times New Roman" w:cs="Times New Roman"/>
          <w:sz w:val="24"/>
          <w:szCs w:val="24"/>
        </w:rPr>
        <w:t>q</w:t>
      </w:r>
      <w:r w:rsidRPr="00102620">
        <w:rPr>
          <w:rFonts w:ascii="Times New Roman" w:hAnsi="Times New Roman" w:cs="Times New Roman"/>
          <w:sz w:val="24"/>
          <w:szCs w:val="24"/>
          <w:vertAlign w:val="subscript"/>
        </w:rPr>
        <w:t>e</w:t>
      </w:r>
      <w:r w:rsidRPr="00102620">
        <w:rPr>
          <w:rFonts w:ascii="Times New Roman" w:hAnsi="Times New Roman" w:cs="Times New Roman"/>
          <w:sz w:val="24"/>
          <w:szCs w:val="24"/>
          <w:vertAlign w:val="superscript"/>
        </w:rPr>
        <w:t>2</w:t>
      </w:r>
      <w:r w:rsidRPr="00102620">
        <w:rPr>
          <w:rFonts w:ascii="Times New Roman" w:hAnsi="Times New Roman" w:cs="Times New Roman"/>
          <w:sz w:val="24"/>
          <w:szCs w:val="24"/>
        </w:rPr>
        <w:t>) has been widely used for assessment of the adsorption rates. Typically, the distribution coefficient (</w:t>
      </w:r>
      <w:proofErr w:type="spellStart"/>
      <w:r w:rsidRPr="00102620">
        <w:rPr>
          <w:rFonts w:ascii="Times New Roman" w:hAnsi="Times New Roman" w:cs="Times New Roman"/>
          <w:sz w:val="24"/>
          <w:szCs w:val="24"/>
        </w:rPr>
        <w:t>K</w:t>
      </w:r>
      <w:r w:rsidRPr="00102620">
        <w:rPr>
          <w:rFonts w:ascii="Times New Roman" w:hAnsi="Times New Roman" w:cs="Times New Roman"/>
          <w:sz w:val="24"/>
          <w:szCs w:val="24"/>
          <w:vertAlign w:val="subscript"/>
        </w:rPr>
        <w:t>d</w:t>
      </w:r>
      <w:proofErr w:type="spellEnd"/>
      <w:r w:rsidRPr="00102620">
        <w:rPr>
          <w:rFonts w:ascii="Times New Roman" w:hAnsi="Times New Roman" w:cs="Times New Roman"/>
          <w:sz w:val="24"/>
          <w:szCs w:val="24"/>
        </w:rPr>
        <w:t>) is used to estimate the affinity of a sorbent for metal ions.</w:t>
      </w:r>
    </w:p>
    <w:p w14:paraId="2D8ED198" w14:textId="5B0B8284" w:rsidR="003E305B" w:rsidRPr="00102620" w:rsidRDefault="003E305B" w:rsidP="005879E3">
      <w:pPr>
        <w:jc w:val="left"/>
        <w:rPr>
          <w:rFonts w:ascii="Times New Roman" w:hAnsi="Times New Roman" w:cs="Times New Roman"/>
          <w:sz w:val="24"/>
          <w:szCs w:val="24"/>
        </w:rPr>
      </w:pPr>
    </w:p>
    <w:p w14:paraId="639AFB09" w14:textId="5DD3537E" w:rsidR="003E305B" w:rsidRPr="00102620" w:rsidRDefault="00E034FC" w:rsidP="005879E3">
      <w:pPr>
        <w:jc w:val="left"/>
        <w:rPr>
          <w:rFonts w:ascii="Times New Roman" w:hAnsi="Times New Roman" w:cs="Times New Roman"/>
          <w:b/>
          <w:bCs/>
          <w:sz w:val="24"/>
          <w:szCs w:val="24"/>
        </w:rPr>
      </w:pPr>
      <w:r w:rsidRPr="00102620">
        <w:rPr>
          <w:rFonts w:ascii="Times New Roman" w:hAnsi="Times New Roman" w:cs="Times New Roman"/>
          <w:b/>
          <w:bCs/>
          <w:sz w:val="24"/>
          <w:szCs w:val="24"/>
        </w:rPr>
        <w:t>Section 2 Summary of Figures and Tables</w:t>
      </w:r>
    </w:p>
    <w:p w14:paraId="730F3D5F" w14:textId="77777777" w:rsidR="003E305B" w:rsidRPr="00102620" w:rsidRDefault="003E305B" w:rsidP="005879E3">
      <w:pPr>
        <w:jc w:val="left"/>
        <w:rPr>
          <w:rFonts w:ascii="Times New Roman" w:hAnsi="Times New Roman" w:cs="Times New Roman"/>
          <w:sz w:val="24"/>
          <w:szCs w:val="24"/>
        </w:rPr>
      </w:pPr>
    </w:p>
    <w:p w14:paraId="5E1DEA1D" w14:textId="37C2BC30" w:rsidR="00EB62A0" w:rsidRPr="00102620" w:rsidRDefault="002100DC" w:rsidP="005879E3">
      <w:pPr>
        <w:jc w:val="left"/>
        <w:rPr>
          <w:rFonts w:ascii="Times New Roman" w:hAnsi="Times New Roman" w:cs="Times New Roman"/>
          <w:sz w:val="24"/>
          <w:szCs w:val="24"/>
        </w:rPr>
      </w:pPr>
      <w:r w:rsidRPr="00102620">
        <w:rPr>
          <w:rFonts w:ascii="Times New Roman" w:hAnsi="Times New Roman" w:cs="Times New Roman"/>
          <w:noProof/>
          <w:sz w:val="24"/>
          <w:szCs w:val="24"/>
        </w:rPr>
        <w:drawing>
          <wp:inline distT="0" distB="0" distL="0" distR="0" wp14:anchorId="44BA40F3" wp14:editId="32B86CB4">
            <wp:extent cx="5274310" cy="4037330"/>
            <wp:effectExtent l="0" t="0" r="254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 (2).jpg"/>
                    <pic:cNvPicPr/>
                  </pic:nvPicPr>
                  <pic:blipFill>
                    <a:blip r:embed="rId9">
                      <a:extLst>
                        <a:ext uri="{28A0092B-C50C-407E-A947-70E740481C1C}">
                          <a14:useLocalDpi xmlns:a14="http://schemas.microsoft.com/office/drawing/2010/main" val="0"/>
                        </a:ext>
                      </a:extLst>
                    </a:blip>
                    <a:stretch>
                      <a:fillRect/>
                    </a:stretch>
                  </pic:blipFill>
                  <pic:spPr>
                    <a:xfrm>
                      <a:off x="0" y="0"/>
                      <a:ext cx="5274310" cy="4037330"/>
                    </a:xfrm>
                    <a:prstGeom prst="rect">
                      <a:avLst/>
                    </a:prstGeom>
                  </pic:spPr>
                </pic:pic>
              </a:graphicData>
            </a:graphic>
          </wp:inline>
        </w:drawing>
      </w:r>
    </w:p>
    <w:p w14:paraId="0F5594EE" w14:textId="4F1F1837" w:rsidR="00EB62A0" w:rsidRPr="00102620" w:rsidRDefault="007A7E78" w:rsidP="00460C85">
      <w:pPr>
        <w:jc w:val="center"/>
        <w:rPr>
          <w:rFonts w:ascii="Times New Roman" w:hAnsi="Times New Roman" w:cs="Times New Roman"/>
          <w:szCs w:val="21"/>
        </w:rPr>
      </w:pPr>
      <w:proofErr w:type="gramStart"/>
      <w:r w:rsidRPr="00102620">
        <w:rPr>
          <w:rFonts w:ascii="Times New Roman" w:hAnsi="Times New Roman" w:cs="Times New Roman"/>
          <w:szCs w:val="21"/>
        </w:rPr>
        <w:t>Fig</w:t>
      </w:r>
      <w:r w:rsidR="005A1C04" w:rsidRPr="00102620">
        <w:rPr>
          <w:rFonts w:ascii="Times New Roman" w:hAnsi="Times New Roman" w:cs="Times New Roman"/>
          <w:szCs w:val="21"/>
        </w:rPr>
        <w:t xml:space="preserve"> S1.</w:t>
      </w:r>
      <w:proofErr w:type="gramEnd"/>
      <w:r w:rsidR="00D608DF" w:rsidRPr="00102620">
        <w:rPr>
          <w:rFonts w:ascii="Times New Roman" w:hAnsi="Times New Roman" w:cs="Times New Roman"/>
          <w:szCs w:val="21"/>
        </w:rPr>
        <w:t xml:space="preserve"> </w:t>
      </w:r>
      <w:proofErr w:type="gramStart"/>
      <w:r w:rsidR="00D608DF" w:rsidRPr="00102620">
        <w:rPr>
          <w:rFonts w:ascii="Times New Roman" w:hAnsi="Times New Roman" w:cs="Times New Roman"/>
          <w:szCs w:val="21"/>
        </w:rPr>
        <w:t>The FT-IR spectrum of polymers HTDP-1</w:t>
      </w:r>
      <w:r w:rsidR="00322AF9" w:rsidRPr="00102620">
        <w:rPr>
          <w:rFonts w:ascii="Times New Roman" w:hAnsi="Times New Roman" w:cs="Times New Roman"/>
          <w:szCs w:val="21"/>
        </w:rPr>
        <w:t xml:space="preserve"> (a)</w:t>
      </w:r>
      <w:r w:rsidR="00D608DF" w:rsidRPr="00102620">
        <w:rPr>
          <w:rFonts w:ascii="Times New Roman" w:hAnsi="Times New Roman" w:cs="Times New Roman"/>
          <w:szCs w:val="21"/>
        </w:rPr>
        <w:t>, HTDP-2</w:t>
      </w:r>
      <w:r w:rsidR="00322AF9" w:rsidRPr="00102620">
        <w:rPr>
          <w:rFonts w:ascii="Times New Roman" w:hAnsi="Times New Roman" w:cs="Times New Roman"/>
          <w:szCs w:val="21"/>
        </w:rPr>
        <w:t xml:space="preserve"> (b)</w:t>
      </w:r>
      <w:r w:rsidR="00D608DF" w:rsidRPr="00102620">
        <w:rPr>
          <w:rFonts w:ascii="Times New Roman" w:hAnsi="Times New Roman" w:cs="Times New Roman"/>
          <w:szCs w:val="21"/>
        </w:rPr>
        <w:t xml:space="preserve"> and HTDP-3</w:t>
      </w:r>
      <w:r w:rsidR="00322AF9" w:rsidRPr="00102620">
        <w:rPr>
          <w:rFonts w:ascii="Times New Roman" w:hAnsi="Times New Roman" w:cs="Times New Roman"/>
          <w:szCs w:val="21"/>
        </w:rPr>
        <w:t xml:space="preserve"> (c)</w:t>
      </w:r>
      <w:r w:rsidR="00D608DF" w:rsidRPr="00102620">
        <w:rPr>
          <w:rFonts w:ascii="Times New Roman" w:hAnsi="Times New Roman" w:cs="Times New Roman"/>
          <w:szCs w:val="21"/>
        </w:rPr>
        <w:t>.</w:t>
      </w:r>
      <w:proofErr w:type="gramEnd"/>
    </w:p>
    <w:p w14:paraId="1811D95F" w14:textId="7FCCD731" w:rsidR="003E305B" w:rsidRPr="00102620" w:rsidRDefault="003E305B" w:rsidP="00460C85">
      <w:pPr>
        <w:jc w:val="center"/>
        <w:rPr>
          <w:rFonts w:ascii="Times New Roman" w:hAnsi="Times New Roman" w:cs="Times New Roman"/>
          <w:szCs w:val="21"/>
        </w:rPr>
      </w:pPr>
    </w:p>
    <w:p w14:paraId="70687027" w14:textId="77777777" w:rsidR="003E305B" w:rsidRPr="00102620" w:rsidRDefault="003E305B" w:rsidP="00460C85">
      <w:pPr>
        <w:jc w:val="center"/>
        <w:rPr>
          <w:rFonts w:ascii="Times New Roman" w:hAnsi="Times New Roman" w:cs="Times New Roman"/>
          <w:szCs w:val="21"/>
        </w:rPr>
      </w:pPr>
    </w:p>
    <w:p w14:paraId="17E559D1" w14:textId="3FA17266" w:rsidR="00EB62A0" w:rsidRPr="00102620" w:rsidRDefault="002100DC" w:rsidP="005879E3">
      <w:pPr>
        <w:jc w:val="left"/>
        <w:rPr>
          <w:rFonts w:ascii="Times New Roman" w:hAnsi="Times New Roman" w:cs="Times New Roman"/>
          <w:sz w:val="24"/>
          <w:szCs w:val="24"/>
        </w:rPr>
      </w:pPr>
      <w:r w:rsidRPr="00102620">
        <w:rPr>
          <w:rFonts w:ascii="Times New Roman" w:hAnsi="Times New Roman" w:cs="Times New Roman"/>
          <w:noProof/>
          <w:sz w:val="24"/>
          <w:szCs w:val="24"/>
        </w:rPr>
        <w:lastRenderedPageBreak/>
        <w:drawing>
          <wp:inline distT="0" distB="0" distL="0" distR="0" wp14:anchorId="2FAE9763" wp14:editId="6F9B4050">
            <wp:extent cx="5274310" cy="4150360"/>
            <wp:effectExtent l="0" t="0" r="254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 (2).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14:paraId="50E57A98" w14:textId="418482E1" w:rsidR="002226D0" w:rsidRPr="00102620" w:rsidRDefault="007A7E78" w:rsidP="00460C85">
      <w:pPr>
        <w:jc w:val="center"/>
        <w:rPr>
          <w:rFonts w:ascii="Times New Roman" w:hAnsi="Times New Roman" w:cs="Times New Roman"/>
        </w:rPr>
      </w:pPr>
      <w:proofErr w:type="gramStart"/>
      <w:r w:rsidRPr="00102620">
        <w:rPr>
          <w:rFonts w:ascii="Times New Roman" w:hAnsi="Times New Roman" w:cs="Times New Roman"/>
        </w:rPr>
        <w:t>Fig</w:t>
      </w:r>
      <w:r w:rsidR="00F20150" w:rsidRPr="00102620">
        <w:rPr>
          <w:rFonts w:ascii="Times New Roman" w:hAnsi="Times New Roman" w:cs="Times New Roman"/>
        </w:rPr>
        <w:t xml:space="preserve"> </w:t>
      </w:r>
      <w:r w:rsidR="00536732" w:rsidRPr="00102620">
        <w:rPr>
          <w:rFonts w:ascii="Times New Roman" w:hAnsi="Times New Roman" w:cs="Times New Roman"/>
        </w:rPr>
        <w:t>S</w:t>
      </w:r>
      <w:r w:rsidR="00460C85" w:rsidRPr="00102620">
        <w:rPr>
          <w:rFonts w:ascii="Times New Roman" w:hAnsi="Times New Roman" w:cs="Times New Roman"/>
        </w:rPr>
        <w:t>2</w:t>
      </w:r>
      <w:r w:rsidR="00F20150" w:rsidRPr="00102620">
        <w:rPr>
          <w:rFonts w:ascii="Times New Roman" w:hAnsi="Times New Roman" w:cs="Times New Roman"/>
        </w:rPr>
        <w:t>.</w:t>
      </w:r>
      <w:proofErr w:type="gramEnd"/>
      <w:r w:rsidR="00F20150" w:rsidRPr="00102620">
        <w:rPr>
          <w:rFonts w:ascii="Times New Roman" w:hAnsi="Times New Roman" w:cs="Times New Roman"/>
        </w:rPr>
        <w:t xml:space="preserve"> </w:t>
      </w:r>
      <w:r w:rsidR="006F414C" w:rsidRPr="00102620">
        <w:rPr>
          <w:rFonts w:ascii="Times New Roman" w:hAnsi="Times New Roman" w:cs="Times New Roman"/>
        </w:rPr>
        <w:t xml:space="preserve">Pore size distribution profile </w:t>
      </w:r>
      <w:r w:rsidR="00F20150" w:rsidRPr="00102620">
        <w:rPr>
          <w:rFonts w:ascii="Times New Roman" w:hAnsi="Times New Roman" w:cs="Times New Roman"/>
        </w:rPr>
        <w:t>of HTDP-1, HTDP-2, and HTDP-3 (</w:t>
      </w:r>
      <w:r w:rsidR="006F414C" w:rsidRPr="00102620">
        <w:rPr>
          <w:rFonts w:ascii="Times New Roman" w:hAnsi="Times New Roman" w:cs="Times New Roman"/>
        </w:rPr>
        <w:t>77K</w:t>
      </w:r>
      <w:r w:rsidR="00F20150" w:rsidRPr="00102620">
        <w:rPr>
          <w:rFonts w:ascii="Times New Roman" w:hAnsi="Times New Roman" w:cs="Times New Roman"/>
        </w:rPr>
        <w:t>).</w:t>
      </w:r>
    </w:p>
    <w:p w14:paraId="1BBE2A22" w14:textId="270D5AAC" w:rsidR="0067354A" w:rsidRPr="00102620" w:rsidRDefault="0067354A">
      <w:pPr>
        <w:rPr>
          <w:rFonts w:ascii="Times New Roman" w:hAnsi="Times New Roman" w:cs="Times New Roman"/>
        </w:rPr>
      </w:pPr>
    </w:p>
    <w:p w14:paraId="465C3AF2" w14:textId="5B4E342C" w:rsidR="00993E7C" w:rsidRPr="00102620" w:rsidRDefault="00993E7C">
      <w:pPr>
        <w:rPr>
          <w:rFonts w:ascii="Times New Roman" w:hAnsi="Times New Roman" w:cs="Times New Roman"/>
        </w:rPr>
      </w:pPr>
    </w:p>
    <w:p w14:paraId="62346927" w14:textId="0FB2EFF6" w:rsidR="00993E7C" w:rsidRPr="00102620" w:rsidRDefault="00993E7C">
      <w:pPr>
        <w:rPr>
          <w:rFonts w:ascii="Times New Roman" w:hAnsi="Times New Roman" w:cs="Times New Roman"/>
        </w:rPr>
      </w:pPr>
    </w:p>
    <w:p w14:paraId="5EAC6E55" w14:textId="4CD4B82B" w:rsidR="00993E7C" w:rsidRPr="00102620" w:rsidRDefault="002100DC">
      <w:pPr>
        <w:rPr>
          <w:rFonts w:ascii="Times New Roman" w:hAnsi="Times New Roman" w:cs="Times New Roman"/>
        </w:rPr>
      </w:pPr>
      <w:r w:rsidRPr="00102620">
        <w:rPr>
          <w:rFonts w:ascii="Times New Roman" w:hAnsi="Times New Roman" w:cs="Times New Roman"/>
          <w:noProof/>
        </w:rPr>
        <w:lastRenderedPageBreak/>
        <w:drawing>
          <wp:inline distT="0" distB="0" distL="0" distR="0" wp14:anchorId="17AA17ED" wp14:editId="23810D28">
            <wp:extent cx="5274310" cy="4282440"/>
            <wp:effectExtent l="0" t="0" r="254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 (2).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4282440"/>
                    </a:xfrm>
                    <a:prstGeom prst="rect">
                      <a:avLst/>
                    </a:prstGeom>
                  </pic:spPr>
                </pic:pic>
              </a:graphicData>
            </a:graphic>
          </wp:inline>
        </w:drawing>
      </w:r>
    </w:p>
    <w:p w14:paraId="240F27B4" w14:textId="130C1AA4" w:rsidR="00993E7C" w:rsidRPr="00102620" w:rsidRDefault="007A7E78" w:rsidP="00E034FC">
      <w:pPr>
        <w:jc w:val="center"/>
        <w:rPr>
          <w:rFonts w:ascii="Times New Roman" w:hAnsi="Times New Roman" w:cs="Times New Roman"/>
        </w:rPr>
      </w:pPr>
      <w:proofErr w:type="gramStart"/>
      <w:r w:rsidRPr="00102620">
        <w:rPr>
          <w:rFonts w:ascii="Times New Roman" w:hAnsi="Times New Roman" w:cs="Times New Roman"/>
        </w:rPr>
        <w:t>Fig</w:t>
      </w:r>
      <w:r w:rsidR="00077472" w:rsidRPr="00102620">
        <w:rPr>
          <w:rFonts w:ascii="Times New Roman" w:hAnsi="Times New Roman" w:cs="Times New Roman"/>
        </w:rPr>
        <w:t xml:space="preserve"> </w:t>
      </w:r>
      <w:r w:rsidR="00993E7C" w:rsidRPr="00102620">
        <w:rPr>
          <w:rFonts w:ascii="Times New Roman" w:hAnsi="Times New Roman" w:cs="Times New Roman"/>
        </w:rPr>
        <w:t>S</w:t>
      </w:r>
      <w:r w:rsidR="00460C85" w:rsidRPr="00102620">
        <w:rPr>
          <w:rFonts w:ascii="Times New Roman" w:hAnsi="Times New Roman" w:cs="Times New Roman"/>
        </w:rPr>
        <w:t>3.</w:t>
      </w:r>
      <w:proofErr w:type="gramEnd"/>
      <w:r w:rsidR="00460C85" w:rsidRPr="00102620">
        <w:rPr>
          <w:rFonts w:ascii="Times New Roman" w:hAnsi="Times New Roman" w:cs="Times New Roman"/>
        </w:rPr>
        <w:t xml:space="preserve"> </w:t>
      </w:r>
      <w:proofErr w:type="gramStart"/>
      <w:r w:rsidR="00460C85" w:rsidRPr="00102620">
        <w:rPr>
          <w:rFonts w:ascii="Times New Roman" w:hAnsi="Times New Roman" w:cs="Times New Roman"/>
        </w:rPr>
        <w:t>Hg</w:t>
      </w:r>
      <w:r w:rsidR="00460C85" w:rsidRPr="00102620">
        <w:rPr>
          <w:rFonts w:ascii="Times New Roman" w:hAnsi="Times New Roman" w:cs="Times New Roman"/>
          <w:vertAlign w:val="superscript"/>
        </w:rPr>
        <w:t>2+</w:t>
      </w:r>
      <w:r w:rsidR="00460C85" w:rsidRPr="00102620">
        <w:rPr>
          <w:rFonts w:ascii="Times New Roman" w:hAnsi="Times New Roman" w:cs="Times New Roman"/>
        </w:rPr>
        <w:t xml:space="preserve"> adsorption isotherm of HTDP-1, HTDP-2 and HTDP-3.</w:t>
      </w:r>
      <w:proofErr w:type="gramEnd"/>
    </w:p>
    <w:p w14:paraId="09569D09" w14:textId="4BFBC087" w:rsidR="00993E7C" w:rsidRPr="00102620" w:rsidRDefault="00993E7C">
      <w:pPr>
        <w:rPr>
          <w:rFonts w:ascii="Times New Roman" w:hAnsi="Times New Roman" w:cs="Times New Roman"/>
        </w:rPr>
      </w:pPr>
    </w:p>
    <w:p w14:paraId="1415E0B9" w14:textId="265ADF58" w:rsidR="00E034FC" w:rsidRPr="00102620" w:rsidRDefault="00E034FC">
      <w:pPr>
        <w:rPr>
          <w:rFonts w:ascii="Times New Roman" w:hAnsi="Times New Roman" w:cs="Times New Roman"/>
        </w:rPr>
      </w:pPr>
    </w:p>
    <w:p w14:paraId="0736E70C" w14:textId="604A740D" w:rsidR="00E034FC" w:rsidRPr="00102620" w:rsidRDefault="00E034FC">
      <w:pPr>
        <w:rPr>
          <w:rFonts w:ascii="Times New Roman" w:hAnsi="Times New Roman" w:cs="Times New Roman"/>
        </w:rPr>
      </w:pPr>
    </w:p>
    <w:p w14:paraId="2352F582" w14:textId="40A14D73" w:rsidR="00E034FC" w:rsidRPr="00102620" w:rsidRDefault="00E034FC">
      <w:pPr>
        <w:rPr>
          <w:rFonts w:ascii="Times New Roman" w:hAnsi="Times New Roman" w:cs="Times New Roman"/>
        </w:rPr>
      </w:pPr>
    </w:p>
    <w:p w14:paraId="07250AB9" w14:textId="77777777" w:rsidR="00E034FC" w:rsidRPr="00102620" w:rsidRDefault="00E034FC">
      <w:pPr>
        <w:rPr>
          <w:rFonts w:ascii="Times New Roman" w:hAnsi="Times New Roman" w:cs="Times New Roman"/>
        </w:rPr>
      </w:pPr>
    </w:p>
    <w:p w14:paraId="6D5264F0" w14:textId="3D9C0B64" w:rsidR="00993E7C" w:rsidRPr="00102620" w:rsidRDefault="002100DC">
      <w:pPr>
        <w:rPr>
          <w:rFonts w:ascii="Times New Roman" w:hAnsi="Times New Roman" w:cs="Times New Roman"/>
        </w:rPr>
      </w:pPr>
      <w:r w:rsidRPr="00102620">
        <w:rPr>
          <w:rFonts w:ascii="Times New Roman" w:hAnsi="Times New Roman" w:cs="Times New Roman"/>
          <w:noProof/>
        </w:rPr>
        <w:lastRenderedPageBreak/>
        <w:drawing>
          <wp:inline distT="0" distB="0" distL="0" distR="0" wp14:anchorId="266DCF40" wp14:editId="68012DBA">
            <wp:extent cx="5274310" cy="417195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 (2).jpg"/>
                    <pic:cNvPicPr/>
                  </pic:nvPicPr>
                  <pic:blipFill>
                    <a:blip r:embed="rId12">
                      <a:extLst>
                        <a:ext uri="{28A0092B-C50C-407E-A947-70E740481C1C}">
                          <a14:useLocalDpi xmlns:a14="http://schemas.microsoft.com/office/drawing/2010/main" val="0"/>
                        </a:ext>
                      </a:extLst>
                    </a:blip>
                    <a:stretch>
                      <a:fillRect/>
                    </a:stretch>
                  </pic:blipFill>
                  <pic:spPr>
                    <a:xfrm>
                      <a:off x="0" y="0"/>
                      <a:ext cx="5274310" cy="4171950"/>
                    </a:xfrm>
                    <a:prstGeom prst="rect">
                      <a:avLst/>
                    </a:prstGeom>
                  </pic:spPr>
                </pic:pic>
              </a:graphicData>
            </a:graphic>
          </wp:inline>
        </w:drawing>
      </w:r>
    </w:p>
    <w:p w14:paraId="63AB4492" w14:textId="650FC6A5" w:rsidR="00993E7C" w:rsidRPr="00102620" w:rsidRDefault="00D20C64" w:rsidP="006F414C">
      <w:pPr>
        <w:jc w:val="center"/>
        <w:rPr>
          <w:rFonts w:ascii="Times New Roman" w:hAnsi="Times New Roman" w:cs="Times New Roman"/>
        </w:rPr>
      </w:pPr>
      <w:proofErr w:type="gramStart"/>
      <w:r w:rsidRPr="00102620">
        <w:rPr>
          <w:rFonts w:ascii="Times New Roman" w:hAnsi="Times New Roman" w:cs="Times New Roman"/>
        </w:rPr>
        <w:t>Fig</w:t>
      </w:r>
      <w:r w:rsidR="00077472" w:rsidRPr="00102620">
        <w:rPr>
          <w:rFonts w:ascii="Times New Roman" w:hAnsi="Times New Roman" w:cs="Times New Roman"/>
        </w:rPr>
        <w:t xml:space="preserve"> </w:t>
      </w:r>
      <w:r w:rsidR="00993E7C" w:rsidRPr="00102620">
        <w:rPr>
          <w:rFonts w:ascii="Times New Roman" w:hAnsi="Times New Roman" w:cs="Times New Roman"/>
        </w:rPr>
        <w:t>S</w:t>
      </w:r>
      <w:r w:rsidR="00460C85" w:rsidRPr="00102620">
        <w:rPr>
          <w:rFonts w:ascii="Times New Roman" w:hAnsi="Times New Roman" w:cs="Times New Roman"/>
        </w:rPr>
        <w:t>4.</w:t>
      </w:r>
      <w:proofErr w:type="gramEnd"/>
      <w:r w:rsidR="006F414C" w:rsidRPr="00102620">
        <w:rPr>
          <w:rFonts w:ascii="Times New Roman" w:hAnsi="Times New Roman" w:cs="Times New Roman"/>
        </w:rPr>
        <w:t xml:space="preserve"> </w:t>
      </w:r>
      <w:proofErr w:type="gramStart"/>
      <w:r w:rsidR="006F414C" w:rsidRPr="00102620">
        <w:rPr>
          <w:rFonts w:ascii="Times New Roman" w:hAnsi="Times New Roman" w:cs="Times New Roman"/>
        </w:rPr>
        <w:t>Fluorescence spectra of 1, 2, HTDP-2, and HTDP-2-Hg</w:t>
      </w:r>
      <w:r w:rsidR="006F414C" w:rsidRPr="00102620">
        <w:rPr>
          <w:rFonts w:ascii="Times New Roman" w:hAnsi="Times New Roman" w:cs="Times New Roman"/>
          <w:vertAlign w:val="superscript"/>
        </w:rPr>
        <w:t>2+</w:t>
      </w:r>
      <w:r w:rsidR="006F414C" w:rsidRPr="00102620">
        <w:rPr>
          <w:rFonts w:ascii="Times New Roman" w:hAnsi="Times New Roman" w:cs="Times New Roman"/>
        </w:rPr>
        <w:t xml:space="preserve"> in the dispersion solution of acetonitrile.</w:t>
      </w:r>
      <w:proofErr w:type="gramEnd"/>
    </w:p>
    <w:p w14:paraId="10595243" w14:textId="33191BCC" w:rsidR="00993E7C" w:rsidRPr="00102620" w:rsidRDefault="00993E7C">
      <w:pPr>
        <w:rPr>
          <w:rFonts w:ascii="Times New Roman" w:hAnsi="Times New Roman" w:cs="Times New Roman"/>
        </w:rPr>
      </w:pPr>
    </w:p>
    <w:p w14:paraId="654C2A9D" w14:textId="77777777" w:rsidR="00E034FC" w:rsidRPr="00102620" w:rsidRDefault="00E034FC">
      <w:pPr>
        <w:rPr>
          <w:rFonts w:ascii="Times New Roman" w:hAnsi="Times New Roman" w:cs="Times New Roman"/>
        </w:rPr>
      </w:pPr>
    </w:p>
    <w:p w14:paraId="4964605F" w14:textId="37B0E236" w:rsidR="00993E7C" w:rsidRPr="00102620" w:rsidRDefault="002100DC">
      <w:pPr>
        <w:rPr>
          <w:rFonts w:ascii="Times New Roman" w:hAnsi="Times New Roman" w:cs="Times New Roman"/>
        </w:rPr>
      </w:pPr>
      <w:r w:rsidRPr="00102620">
        <w:rPr>
          <w:rFonts w:ascii="Times New Roman" w:hAnsi="Times New Roman" w:cs="Times New Roman"/>
          <w:noProof/>
        </w:rPr>
        <w:lastRenderedPageBreak/>
        <w:drawing>
          <wp:inline distT="0" distB="0" distL="0" distR="0" wp14:anchorId="17E309D0" wp14:editId="099D19F9">
            <wp:extent cx="5274310" cy="4222750"/>
            <wp:effectExtent l="0" t="0" r="254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 (2).jpg"/>
                    <pic:cNvPicPr/>
                  </pic:nvPicPr>
                  <pic:blipFill>
                    <a:blip r:embed="rId13">
                      <a:extLst>
                        <a:ext uri="{28A0092B-C50C-407E-A947-70E740481C1C}">
                          <a14:useLocalDpi xmlns:a14="http://schemas.microsoft.com/office/drawing/2010/main" val="0"/>
                        </a:ext>
                      </a:extLst>
                    </a:blip>
                    <a:stretch>
                      <a:fillRect/>
                    </a:stretch>
                  </pic:blipFill>
                  <pic:spPr>
                    <a:xfrm>
                      <a:off x="0" y="0"/>
                      <a:ext cx="5274310" cy="4222750"/>
                    </a:xfrm>
                    <a:prstGeom prst="rect">
                      <a:avLst/>
                    </a:prstGeom>
                  </pic:spPr>
                </pic:pic>
              </a:graphicData>
            </a:graphic>
          </wp:inline>
        </w:drawing>
      </w:r>
    </w:p>
    <w:p w14:paraId="6F2BA13B" w14:textId="4A364C8A" w:rsidR="00993E7C" w:rsidRPr="00102620" w:rsidRDefault="00D20C64" w:rsidP="00077472">
      <w:pPr>
        <w:jc w:val="center"/>
        <w:rPr>
          <w:rFonts w:ascii="Times New Roman" w:hAnsi="Times New Roman" w:cs="Times New Roman"/>
        </w:rPr>
      </w:pPr>
      <w:proofErr w:type="gramStart"/>
      <w:r w:rsidRPr="00102620">
        <w:rPr>
          <w:rFonts w:ascii="Times New Roman" w:hAnsi="Times New Roman" w:cs="Times New Roman"/>
        </w:rPr>
        <w:t>Fig</w:t>
      </w:r>
      <w:r w:rsidR="00077472" w:rsidRPr="00102620">
        <w:rPr>
          <w:rFonts w:ascii="Times New Roman" w:hAnsi="Times New Roman" w:cs="Times New Roman"/>
        </w:rPr>
        <w:t xml:space="preserve"> </w:t>
      </w:r>
      <w:r w:rsidR="00993E7C" w:rsidRPr="00102620">
        <w:rPr>
          <w:rFonts w:ascii="Times New Roman" w:hAnsi="Times New Roman" w:cs="Times New Roman"/>
        </w:rPr>
        <w:t>S</w:t>
      </w:r>
      <w:r w:rsidR="006F414C" w:rsidRPr="00102620">
        <w:rPr>
          <w:rFonts w:ascii="Times New Roman" w:hAnsi="Times New Roman" w:cs="Times New Roman"/>
        </w:rPr>
        <w:t>5</w:t>
      </w:r>
      <w:r w:rsidR="00077472" w:rsidRPr="00102620">
        <w:rPr>
          <w:rFonts w:ascii="Times New Roman" w:hAnsi="Times New Roman" w:cs="Times New Roman"/>
        </w:rPr>
        <w:t>.</w:t>
      </w:r>
      <w:proofErr w:type="gramEnd"/>
      <w:r w:rsidR="006F414C" w:rsidRPr="00102620">
        <w:rPr>
          <w:rFonts w:ascii="Times New Roman" w:hAnsi="Times New Roman" w:cs="Times New Roman"/>
        </w:rPr>
        <w:t xml:space="preserve"> </w:t>
      </w:r>
      <w:r w:rsidR="00077472" w:rsidRPr="00102620">
        <w:rPr>
          <w:rFonts w:ascii="Times New Roman" w:hAnsi="Times New Roman" w:cs="Times New Roman"/>
        </w:rPr>
        <w:t>Fluorescence spectra of HTDP-2 in acetonitrile (black), DMF (red), THF (light blue), Acetone (purple), Ethanol (green) and Diethyl ether (dark blue).</w:t>
      </w:r>
    </w:p>
    <w:p w14:paraId="7790F4C0" w14:textId="360BAA25" w:rsidR="00993E7C" w:rsidRPr="00102620" w:rsidRDefault="00993E7C">
      <w:pPr>
        <w:rPr>
          <w:rFonts w:ascii="Times New Roman" w:hAnsi="Times New Roman" w:cs="Times New Roman"/>
        </w:rPr>
      </w:pPr>
    </w:p>
    <w:p w14:paraId="788B1080" w14:textId="77777777" w:rsidR="00E034FC" w:rsidRPr="00102620" w:rsidRDefault="00E034FC">
      <w:pPr>
        <w:rPr>
          <w:rFonts w:ascii="Times New Roman" w:hAnsi="Times New Roman" w:cs="Times New Roman"/>
        </w:rPr>
      </w:pPr>
    </w:p>
    <w:p w14:paraId="1D81281D" w14:textId="6AE13410" w:rsidR="00993E7C" w:rsidRPr="00102620" w:rsidRDefault="002100DC">
      <w:pPr>
        <w:rPr>
          <w:rFonts w:ascii="Times New Roman" w:hAnsi="Times New Roman" w:cs="Times New Roman"/>
        </w:rPr>
      </w:pPr>
      <w:r w:rsidRPr="00102620">
        <w:rPr>
          <w:rFonts w:ascii="Times New Roman" w:hAnsi="Times New Roman" w:cs="Times New Roman"/>
          <w:noProof/>
        </w:rPr>
        <w:lastRenderedPageBreak/>
        <w:drawing>
          <wp:inline distT="0" distB="0" distL="0" distR="0" wp14:anchorId="5C97345C" wp14:editId="4424D6BB">
            <wp:extent cx="5274310" cy="4587875"/>
            <wp:effectExtent l="0" t="0" r="254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6 (2).jpg"/>
                    <pic:cNvPicPr/>
                  </pic:nvPicPr>
                  <pic:blipFill>
                    <a:blip r:embed="rId14">
                      <a:extLst>
                        <a:ext uri="{28A0092B-C50C-407E-A947-70E740481C1C}">
                          <a14:useLocalDpi xmlns:a14="http://schemas.microsoft.com/office/drawing/2010/main" val="0"/>
                        </a:ext>
                      </a:extLst>
                    </a:blip>
                    <a:stretch>
                      <a:fillRect/>
                    </a:stretch>
                  </pic:blipFill>
                  <pic:spPr>
                    <a:xfrm>
                      <a:off x="0" y="0"/>
                      <a:ext cx="5274310" cy="4587875"/>
                    </a:xfrm>
                    <a:prstGeom prst="rect">
                      <a:avLst/>
                    </a:prstGeom>
                  </pic:spPr>
                </pic:pic>
              </a:graphicData>
            </a:graphic>
          </wp:inline>
        </w:drawing>
      </w:r>
    </w:p>
    <w:p w14:paraId="18B188B5" w14:textId="6D71743C" w:rsidR="0067354A" w:rsidRPr="00102620" w:rsidRDefault="00D20C64" w:rsidP="00EA060E">
      <w:pPr>
        <w:jc w:val="center"/>
        <w:rPr>
          <w:rFonts w:ascii="Times New Roman" w:hAnsi="Times New Roman" w:cs="Times New Roman"/>
          <w:noProof/>
        </w:rPr>
      </w:pPr>
      <w:r w:rsidRPr="00102620">
        <w:rPr>
          <w:rFonts w:ascii="Times New Roman" w:hAnsi="Times New Roman" w:cs="Times New Roman"/>
          <w:noProof/>
        </w:rPr>
        <w:t>Fig</w:t>
      </w:r>
      <w:r w:rsidR="00077472" w:rsidRPr="00102620">
        <w:rPr>
          <w:rFonts w:ascii="Times New Roman" w:hAnsi="Times New Roman" w:cs="Times New Roman"/>
          <w:noProof/>
        </w:rPr>
        <w:t xml:space="preserve"> </w:t>
      </w:r>
      <w:r w:rsidR="00993E7C" w:rsidRPr="00102620">
        <w:rPr>
          <w:rFonts w:ascii="Times New Roman" w:hAnsi="Times New Roman" w:cs="Times New Roman"/>
          <w:noProof/>
        </w:rPr>
        <w:t>S</w:t>
      </w:r>
      <w:r w:rsidR="00077472" w:rsidRPr="00102620">
        <w:rPr>
          <w:rFonts w:ascii="Times New Roman" w:hAnsi="Times New Roman" w:cs="Times New Roman"/>
          <w:noProof/>
        </w:rPr>
        <w:t xml:space="preserve">6. </w:t>
      </w:r>
      <w:r w:rsidR="00EA060E" w:rsidRPr="00102620">
        <w:rPr>
          <w:rFonts w:ascii="Times New Roman" w:hAnsi="Times New Roman" w:cs="Times New Roman"/>
          <w:noProof/>
        </w:rPr>
        <w:t xml:space="preserve">FT-IR of HTDP-2 </w:t>
      </w:r>
      <w:bookmarkStart w:id="1" w:name="_Hlk119525542"/>
      <w:r w:rsidR="00EA060E" w:rsidRPr="00102620">
        <w:rPr>
          <w:rFonts w:ascii="Times New Roman" w:hAnsi="Times New Roman" w:cs="Times New Roman"/>
          <w:noProof/>
        </w:rPr>
        <w:t>and HTDP-2-Hg</w:t>
      </w:r>
      <w:r w:rsidR="00EA060E" w:rsidRPr="00102620">
        <w:rPr>
          <w:rFonts w:ascii="Times New Roman" w:hAnsi="Times New Roman" w:cs="Times New Roman"/>
          <w:noProof/>
          <w:vertAlign w:val="superscript"/>
        </w:rPr>
        <w:t>2+</w:t>
      </w:r>
      <w:bookmarkEnd w:id="1"/>
      <w:r w:rsidR="00EA060E" w:rsidRPr="00102620">
        <w:rPr>
          <w:rFonts w:ascii="Times New Roman" w:hAnsi="Times New Roman" w:cs="Times New Roman"/>
          <w:noProof/>
        </w:rPr>
        <w:t>.</w:t>
      </w:r>
    </w:p>
    <w:p w14:paraId="29C38DB7" w14:textId="0A04EE26" w:rsidR="00993E7C" w:rsidRPr="00102620" w:rsidRDefault="00993E7C">
      <w:pPr>
        <w:rPr>
          <w:rFonts w:ascii="Times New Roman" w:hAnsi="Times New Roman" w:cs="Times New Roman"/>
          <w:noProof/>
        </w:rPr>
      </w:pPr>
    </w:p>
    <w:p w14:paraId="7A30CDCA" w14:textId="3D53C21B" w:rsidR="00E034FC" w:rsidRPr="00102620" w:rsidRDefault="00E034FC">
      <w:pPr>
        <w:rPr>
          <w:rFonts w:ascii="Times New Roman" w:hAnsi="Times New Roman" w:cs="Times New Roman"/>
          <w:noProof/>
        </w:rPr>
      </w:pPr>
    </w:p>
    <w:p w14:paraId="514A6C3C" w14:textId="0370DDDF" w:rsidR="00E034FC" w:rsidRPr="00102620" w:rsidRDefault="00E034FC">
      <w:pPr>
        <w:rPr>
          <w:rFonts w:ascii="Times New Roman" w:hAnsi="Times New Roman" w:cs="Times New Roman"/>
          <w:noProof/>
        </w:rPr>
      </w:pPr>
    </w:p>
    <w:p w14:paraId="1BFC60F9" w14:textId="4AC07959" w:rsidR="00E034FC" w:rsidRPr="00102620" w:rsidRDefault="00E034FC">
      <w:pPr>
        <w:rPr>
          <w:rFonts w:ascii="Times New Roman" w:hAnsi="Times New Roman" w:cs="Times New Roman"/>
          <w:noProof/>
        </w:rPr>
      </w:pPr>
    </w:p>
    <w:p w14:paraId="4B82BEF0" w14:textId="71E3E808" w:rsidR="00E034FC" w:rsidRPr="00102620" w:rsidRDefault="00E034FC">
      <w:pPr>
        <w:rPr>
          <w:rFonts w:ascii="Times New Roman" w:hAnsi="Times New Roman" w:cs="Times New Roman"/>
          <w:noProof/>
        </w:rPr>
      </w:pPr>
    </w:p>
    <w:p w14:paraId="4F497BDB" w14:textId="77777777" w:rsidR="00E034FC" w:rsidRPr="00102620" w:rsidRDefault="00E034FC">
      <w:pPr>
        <w:rPr>
          <w:rFonts w:ascii="Times New Roman" w:hAnsi="Times New Roman" w:cs="Times New Roman"/>
          <w:noProof/>
        </w:rPr>
      </w:pPr>
    </w:p>
    <w:p w14:paraId="61EA3DAD" w14:textId="01A7C545" w:rsidR="00993E7C" w:rsidRPr="00102620" w:rsidRDefault="002100DC">
      <w:pPr>
        <w:rPr>
          <w:rFonts w:ascii="Times New Roman" w:hAnsi="Times New Roman" w:cs="Times New Roman"/>
        </w:rPr>
      </w:pPr>
      <w:r w:rsidRPr="00102620">
        <w:rPr>
          <w:rFonts w:ascii="Times New Roman" w:hAnsi="Times New Roman" w:cs="Times New Roman"/>
          <w:noProof/>
        </w:rPr>
        <w:lastRenderedPageBreak/>
        <w:drawing>
          <wp:inline distT="0" distB="0" distL="0" distR="0" wp14:anchorId="1C479F37" wp14:editId="29410671">
            <wp:extent cx="5274310" cy="4608830"/>
            <wp:effectExtent l="0" t="0" r="254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 (2).jpg"/>
                    <pic:cNvPicPr/>
                  </pic:nvPicPr>
                  <pic:blipFill>
                    <a:blip r:embed="rId15">
                      <a:extLst>
                        <a:ext uri="{28A0092B-C50C-407E-A947-70E740481C1C}">
                          <a14:useLocalDpi xmlns:a14="http://schemas.microsoft.com/office/drawing/2010/main" val="0"/>
                        </a:ext>
                      </a:extLst>
                    </a:blip>
                    <a:stretch>
                      <a:fillRect/>
                    </a:stretch>
                  </pic:blipFill>
                  <pic:spPr>
                    <a:xfrm>
                      <a:off x="0" y="0"/>
                      <a:ext cx="5274310" cy="4608830"/>
                    </a:xfrm>
                    <a:prstGeom prst="rect">
                      <a:avLst/>
                    </a:prstGeom>
                  </pic:spPr>
                </pic:pic>
              </a:graphicData>
            </a:graphic>
          </wp:inline>
        </w:drawing>
      </w:r>
    </w:p>
    <w:p w14:paraId="09A17B5A" w14:textId="45B99CF2" w:rsidR="0067354A" w:rsidRPr="00102620" w:rsidRDefault="00D20C64" w:rsidP="00E034FC">
      <w:pPr>
        <w:jc w:val="center"/>
        <w:rPr>
          <w:rFonts w:ascii="Times New Roman" w:hAnsi="Times New Roman" w:cs="Times New Roman"/>
        </w:rPr>
      </w:pPr>
      <w:r w:rsidRPr="00102620">
        <w:rPr>
          <w:rFonts w:ascii="Times New Roman" w:hAnsi="Times New Roman" w:cs="Times New Roman"/>
        </w:rPr>
        <w:t>Fig</w:t>
      </w:r>
      <w:r w:rsidR="00077472" w:rsidRPr="00102620">
        <w:rPr>
          <w:rFonts w:ascii="Times New Roman" w:hAnsi="Times New Roman" w:cs="Times New Roman"/>
        </w:rPr>
        <w:t xml:space="preserve"> </w:t>
      </w:r>
      <w:r w:rsidR="00993E7C" w:rsidRPr="00102620">
        <w:rPr>
          <w:rFonts w:ascii="Times New Roman" w:hAnsi="Times New Roman" w:cs="Times New Roman"/>
        </w:rPr>
        <w:t>S</w:t>
      </w:r>
      <w:r w:rsidR="00077472" w:rsidRPr="00102620">
        <w:rPr>
          <w:rFonts w:ascii="Times New Roman" w:hAnsi="Times New Roman" w:cs="Times New Roman"/>
        </w:rPr>
        <w:t>7.</w:t>
      </w:r>
      <w:r w:rsidR="00EA060E" w:rsidRPr="00102620">
        <w:rPr>
          <w:rFonts w:ascii="Times New Roman" w:hAnsi="Times New Roman" w:cs="Times New Roman"/>
        </w:rPr>
        <w:t xml:space="preserve"> XPS spectra of HTDP-2 and HTDP-2-Hg</w:t>
      </w:r>
      <w:r w:rsidR="00EA060E" w:rsidRPr="00102620">
        <w:rPr>
          <w:rFonts w:ascii="Times New Roman" w:hAnsi="Times New Roman" w:cs="Times New Roman"/>
          <w:vertAlign w:val="superscript"/>
        </w:rPr>
        <w:t>2+</w:t>
      </w:r>
      <w:r w:rsidR="00EA060E" w:rsidRPr="00102620">
        <w:rPr>
          <w:rFonts w:ascii="Times New Roman" w:hAnsi="Times New Roman" w:cs="Times New Roman"/>
        </w:rPr>
        <w:t>.</w:t>
      </w:r>
    </w:p>
    <w:p w14:paraId="6194C092" w14:textId="2F271F40" w:rsidR="0067354A" w:rsidRPr="00102620" w:rsidRDefault="0067354A">
      <w:pPr>
        <w:rPr>
          <w:rFonts w:ascii="Times New Roman" w:hAnsi="Times New Roman" w:cs="Times New Roman"/>
        </w:rPr>
      </w:pPr>
    </w:p>
    <w:p w14:paraId="0AE6B1D8" w14:textId="4F416BE8" w:rsidR="00E034FC" w:rsidRPr="00102620" w:rsidRDefault="00E034FC">
      <w:pPr>
        <w:rPr>
          <w:rFonts w:ascii="Times New Roman" w:hAnsi="Times New Roman" w:cs="Times New Roman"/>
        </w:rPr>
      </w:pPr>
    </w:p>
    <w:p w14:paraId="1BD58537" w14:textId="696451F7" w:rsidR="00E034FC" w:rsidRPr="00102620" w:rsidRDefault="00E034FC">
      <w:pPr>
        <w:rPr>
          <w:rFonts w:ascii="Times New Roman" w:hAnsi="Times New Roman" w:cs="Times New Roman"/>
        </w:rPr>
      </w:pPr>
    </w:p>
    <w:p w14:paraId="48A95968" w14:textId="23D7BB1B" w:rsidR="00E034FC" w:rsidRPr="00102620" w:rsidRDefault="00E034FC">
      <w:pPr>
        <w:rPr>
          <w:rFonts w:ascii="Times New Roman" w:hAnsi="Times New Roman" w:cs="Times New Roman"/>
        </w:rPr>
      </w:pPr>
    </w:p>
    <w:p w14:paraId="2631C9DC" w14:textId="5F19C899" w:rsidR="00E034FC" w:rsidRPr="00102620" w:rsidRDefault="00E034FC">
      <w:pPr>
        <w:rPr>
          <w:rFonts w:ascii="Times New Roman" w:hAnsi="Times New Roman" w:cs="Times New Roman"/>
        </w:rPr>
      </w:pPr>
    </w:p>
    <w:p w14:paraId="7B3180F3" w14:textId="352CF5A5" w:rsidR="00E034FC" w:rsidRPr="00102620" w:rsidRDefault="00E034FC">
      <w:pPr>
        <w:rPr>
          <w:rFonts w:ascii="Times New Roman" w:hAnsi="Times New Roman" w:cs="Times New Roman"/>
        </w:rPr>
      </w:pPr>
    </w:p>
    <w:p w14:paraId="18D88F17" w14:textId="46F61828" w:rsidR="00E034FC" w:rsidRPr="00102620" w:rsidRDefault="00E034FC">
      <w:pPr>
        <w:rPr>
          <w:rFonts w:ascii="Times New Roman" w:hAnsi="Times New Roman" w:cs="Times New Roman"/>
        </w:rPr>
      </w:pPr>
    </w:p>
    <w:p w14:paraId="6A099636" w14:textId="0CD49419" w:rsidR="00E034FC" w:rsidRPr="00102620" w:rsidRDefault="00E034FC">
      <w:pPr>
        <w:rPr>
          <w:rFonts w:ascii="Times New Roman" w:hAnsi="Times New Roman" w:cs="Times New Roman"/>
        </w:rPr>
      </w:pPr>
    </w:p>
    <w:p w14:paraId="52424DEF" w14:textId="54B4B545" w:rsidR="00E034FC" w:rsidRPr="00102620" w:rsidRDefault="00E034FC">
      <w:pPr>
        <w:rPr>
          <w:rFonts w:ascii="Times New Roman" w:hAnsi="Times New Roman" w:cs="Times New Roman"/>
        </w:rPr>
      </w:pPr>
    </w:p>
    <w:p w14:paraId="339B040A" w14:textId="5CF6C3A8" w:rsidR="00E034FC" w:rsidRPr="00102620" w:rsidRDefault="00E034FC">
      <w:pPr>
        <w:rPr>
          <w:rFonts w:ascii="Times New Roman" w:hAnsi="Times New Roman" w:cs="Times New Roman"/>
        </w:rPr>
      </w:pPr>
    </w:p>
    <w:p w14:paraId="01BCDD93" w14:textId="458D0633" w:rsidR="00E034FC" w:rsidRPr="00102620" w:rsidRDefault="00E034FC">
      <w:pPr>
        <w:rPr>
          <w:rFonts w:ascii="Times New Roman" w:hAnsi="Times New Roman" w:cs="Times New Roman"/>
        </w:rPr>
      </w:pPr>
    </w:p>
    <w:p w14:paraId="4E33BC67" w14:textId="31CF9F26" w:rsidR="00E034FC" w:rsidRPr="00102620" w:rsidRDefault="00E034FC">
      <w:pPr>
        <w:rPr>
          <w:rFonts w:ascii="Times New Roman" w:hAnsi="Times New Roman" w:cs="Times New Roman"/>
        </w:rPr>
      </w:pPr>
    </w:p>
    <w:p w14:paraId="05194595" w14:textId="358F1143" w:rsidR="00E034FC" w:rsidRPr="00102620" w:rsidRDefault="00E034FC">
      <w:pPr>
        <w:rPr>
          <w:rFonts w:ascii="Times New Roman" w:hAnsi="Times New Roman" w:cs="Times New Roman"/>
        </w:rPr>
      </w:pPr>
    </w:p>
    <w:p w14:paraId="4C9610A7" w14:textId="3409C44A" w:rsidR="00E034FC" w:rsidRPr="00102620" w:rsidRDefault="00E034FC">
      <w:pPr>
        <w:rPr>
          <w:rFonts w:ascii="Times New Roman" w:hAnsi="Times New Roman" w:cs="Times New Roman"/>
        </w:rPr>
      </w:pPr>
    </w:p>
    <w:p w14:paraId="75BC1AC1" w14:textId="4C5B5014" w:rsidR="00E034FC" w:rsidRPr="00102620" w:rsidRDefault="00E034FC">
      <w:pPr>
        <w:rPr>
          <w:rFonts w:ascii="Times New Roman" w:hAnsi="Times New Roman" w:cs="Times New Roman"/>
        </w:rPr>
      </w:pPr>
    </w:p>
    <w:p w14:paraId="661BF3BE" w14:textId="5962B01D" w:rsidR="00E034FC" w:rsidRPr="00102620" w:rsidRDefault="00E034FC">
      <w:pPr>
        <w:rPr>
          <w:rFonts w:ascii="Times New Roman" w:hAnsi="Times New Roman" w:cs="Times New Roman"/>
        </w:rPr>
      </w:pPr>
    </w:p>
    <w:p w14:paraId="3A0B3E8C" w14:textId="5C6B5DEB" w:rsidR="00E034FC" w:rsidRPr="00102620" w:rsidRDefault="00E034FC">
      <w:pPr>
        <w:rPr>
          <w:rFonts w:ascii="Times New Roman" w:hAnsi="Times New Roman" w:cs="Times New Roman"/>
        </w:rPr>
      </w:pPr>
    </w:p>
    <w:p w14:paraId="1DFEF124" w14:textId="5875B3B7" w:rsidR="00E034FC" w:rsidRPr="00102620" w:rsidRDefault="00E034FC">
      <w:pPr>
        <w:rPr>
          <w:rFonts w:ascii="Times New Roman" w:hAnsi="Times New Roman" w:cs="Times New Roman"/>
        </w:rPr>
      </w:pPr>
    </w:p>
    <w:p w14:paraId="59403E85" w14:textId="3C20E355" w:rsidR="00E034FC" w:rsidRPr="00102620" w:rsidRDefault="00E034FC">
      <w:pPr>
        <w:rPr>
          <w:rFonts w:ascii="Times New Roman" w:hAnsi="Times New Roman" w:cs="Times New Roman"/>
        </w:rPr>
      </w:pPr>
    </w:p>
    <w:p w14:paraId="54BE1A88" w14:textId="1C0CA767" w:rsidR="00E034FC" w:rsidRPr="00102620" w:rsidRDefault="00E034FC">
      <w:pPr>
        <w:rPr>
          <w:rFonts w:ascii="Times New Roman" w:hAnsi="Times New Roman" w:cs="Times New Roman"/>
        </w:rPr>
      </w:pPr>
    </w:p>
    <w:p w14:paraId="2C7EE5A6" w14:textId="1B3CD2DF" w:rsidR="00E034FC" w:rsidRPr="00102620" w:rsidRDefault="00E034FC">
      <w:pPr>
        <w:rPr>
          <w:rFonts w:ascii="Times New Roman" w:hAnsi="Times New Roman" w:cs="Times New Roman"/>
        </w:rPr>
      </w:pPr>
    </w:p>
    <w:p w14:paraId="07726605" w14:textId="77777777" w:rsidR="00E034FC" w:rsidRPr="00102620" w:rsidRDefault="00E034FC">
      <w:pPr>
        <w:rPr>
          <w:rFonts w:ascii="Times New Roman" w:hAnsi="Times New Roman" w:cs="Times New Roman"/>
        </w:rPr>
      </w:pPr>
    </w:p>
    <w:p w14:paraId="0B961FA0" w14:textId="019B9075" w:rsidR="00E034FC" w:rsidRPr="00102620" w:rsidRDefault="00E034FC" w:rsidP="00E034FC">
      <w:pPr>
        <w:jc w:val="center"/>
        <w:rPr>
          <w:rFonts w:ascii="Times New Roman" w:hAnsi="Times New Roman" w:cs="Times New Roman"/>
        </w:rPr>
      </w:pPr>
      <w:r w:rsidRPr="00102620">
        <w:rPr>
          <w:rFonts w:ascii="Times New Roman" w:hAnsi="Times New Roman" w:cs="Times New Roman"/>
        </w:rPr>
        <w:t>Table S1. Mercury (II) adsorption on the porous materials reported in the literature.</w:t>
      </w:r>
    </w:p>
    <w:p w14:paraId="48019160" w14:textId="77777777" w:rsidR="00E034FC" w:rsidRPr="00102620" w:rsidRDefault="00E034FC" w:rsidP="00E034FC">
      <w:pPr>
        <w:jc w:val="center"/>
        <w:rPr>
          <w:rFonts w:ascii="Times New Roman" w:hAnsi="Times New Roman" w:cs="Times New Roman"/>
        </w:rPr>
      </w:pPr>
    </w:p>
    <w:tbl>
      <w:tblPr>
        <w:tblW w:w="8376" w:type="dxa"/>
        <w:tblLayout w:type="fixed"/>
        <w:tblCellMar>
          <w:left w:w="0" w:type="dxa"/>
          <w:right w:w="0" w:type="dxa"/>
        </w:tblCellMar>
        <w:tblLook w:val="0000" w:firstRow="0" w:lastRow="0" w:firstColumn="0" w:lastColumn="0" w:noHBand="0" w:noVBand="0"/>
      </w:tblPr>
      <w:tblGrid>
        <w:gridCol w:w="2583"/>
        <w:gridCol w:w="61"/>
        <w:gridCol w:w="1925"/>
        <w:gridCol w:w="2196"/>
        <w:gridCol w:w="22"/>
        <w:gridCol w:w="1589"/>
      </w:tblGrid>
      <w:tr w:rsidR="00D53457" w:rsidRPr="00102620" w14:paraId="55EF214F" w14:textId="77777777" w:rsidTr="00231609">
        <w:trPr>
          <w:trHeight w:val="304"/>
        </w:trPr>
        <w:tc>
          <w:tcPr>
            <w:tcW w:w="2583" w:type="dxa"/>
            <w:tcBorders>
              <w:top w:val="single" w:sz="4" w:space="0" w:color="auto"/>
              <w:left w:val="nil"/>
              <w:bottom w:val="single" w:sz="4" w:space="0" w:color="auto"/>
              <w:right w:val="nil"/>
            </w:tcBorders>
            <w:noWrap/>
            <w:tcMar>
              <w:top w:w="12" w:type="dxa"/>
              <w:left w:w="12" w:type="dxa"/>
              <w:right w:w="12" w:type="dxa"/>
            </w:tcMar>
            <w:vAlign w:val="center"/>
          </w:tcPr>
          <w:p w14:paraId="5E957C6A" w14:textId="77777777" w:rsidR="00D53457" w:rsidRPr="00102620" w:rsidRDefault="00D53457"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Materials</w:t>
            </w:r>
          </w:p>
        </w:tc>
        <w:tc>
          <w:tcPr>
            <w:tcW w:w="61" w:type="dxa"/>
            <w:tcBorders>
              <w:top w:val="single" w:sz="4" w:space="0" w:color="auto"/>
              <w:left w:val="nil"/>
              <w:bottom w:val="single" w:sz="4" w:space="0" w:color="auto"/>
              <w:right w:val="nil"/>
            </w:tcBorders>
            <w:noWrap/>
            <w:tcMar>
              <w:top w:w="12" w:type="dxa"/>
              <w:left w:w="12" w:type="dxa"/>
              <w:right w:w="12" w:type="dxa"/>
            </w:tcMar>
            <w:vAlign w:val="center"/>
          </w:tcPr>
          <w:p w14:paraId="27D2E39F" w14:textId="77777777" w:rsidR="00D53457" w:rsidRPr="00102620" w:rsidRDefault="00D53457" w:rsidP="00152D4E">
            <w:pPr>
              <w:widowControl/>
              <w:jc w:val="left"/>
              <w:textAlignment w:val="center"/>
              <w:rPr>
                <w:rFonts w:ascii="Times New Roman" w:hAnsi="Times New Roman" w:cs="Times New Roman"/>
                <w:color w:val="000000"/>
                <w:sz w:val="22"/>
              </w:rPr>
            </w:pPr>
            <w:r w:rsidRPr="00102620">
              <w:rPr>
                <w:rFonts w:ascii="Times New Roman" w:hAnsi="Times New Roman" w:cs="Times New Roman"/>
                <w:color w:val="000000"/>
                <w:kern w:val="0"/>
                <w:sz w:val="22"/>
                <w:lang w:bidi="ar"/>
              </w:rPr>
              <w:t xml:space="preserve">　</w:t>
            </w:r>
          </w:p>
        </w:tc>
        <w:tc>
          <w:tcPr>
            <w:tcW w:w="1925" w:type="dxa"/>
            <w:tcBorders>
              <w:top w:val="single" w:sz="4" w:space="0" w:color="auto"/>
              <w:left w:val="nil"/>
              <w:bottom w:val="single" w:sz="4" w:space="0" w:color="auto"/>
              <w:right w:val="nil"/>
            </w:tcBorders>
            <w:noWrap/>
            <w:tcMar>
              <w:top w:w="12" w:type="dxa"/>
              <w:left w:w="12" w:type="dxa"/>
              <w:right w:w="12" w:type="dxa"/>
            </w:tcMar>
            <w:vAlign w:val="center"/>
          </w:tcPr>
          <w:p w14:paraId="607320ED" w14:textId="28C8CEA6" w:rsidR="00D53457" w:rsidRPr="00102620" w:rsidRDefault="00D53457"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Adsorption capacity/mg g</w:t>
            </w:r>
            <w:r w:rsidRPr="00102620">
              <w:rPr>
                <w:rFonts w:ascii="Times New Roman" w:hAnsi="Times New Roman" w:cs="Times New Roman"/>
                <w:color w:val="000000"/>
                <w:kern w:val="0"/>
                <w:sz w:val="18"/>
                <w:szCs w:val="18"/>
                <w:vertAlign w:val="superscript"/>
                <w:lang w:bidi="ar"/>
              </w:rPr>
              <w:t>−1</w:t>
            </w:r>
          </w:p>
        </w:tc>
        <w:tc>
          <w:tcPr>
            <w:tcW w:w="2196" w:type="dxa"/>
            <w:tcBorders>
              <w:top w:val="single" w:sz="4" w:space="0" w:color="auto"/>
              <w:left w:val="nil"/>
              <w:bottom w:val="single" w:sz="4" w:space="0" w:color="auto"/>
              <w:right w:val="nil"/>
            </w:tcBorders>
            <w:noWrap/>
            <w:tcMar>
              <w:top w:w="12" w:type="dxa"/>
              <w:left w:w="12" w:type="dxa"/>
              <w:right w:w="12" w:type="dxa"/>
            </w:tcMar>
            <w:vAlign w:val="center"/>
          </w:tcPr>
          <w:p w14:paraId="3BC31FF4" w14:textId="0557540D" w:rsidR="00D53457" w:rsidRPr="00102620" w:rsidRDefault="00511F96" w:rsidP="00D53457">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Polymer dosage</w:t>
            </w:r>
            <w:r w:rsidR="00D53457" w:rsidRPr="00102620">
              <w:rPr>
                <w:rFonts w:ascii="Times New Roman" w:hAnsi="Times New Roman" w:cs="Times New Roman"/>
                <w:color w:val="000000"/>
                <w:kern w:val="0"/>
                <w:sz w:val="18"/>
                <w:szCs w:val="18"/>
                <w:lang w:bidi="ar"/>
              </w:rPr>
              <w:t xml:space="preserve"> </w:t>
            </w:r>
          </w:p>
        </w:tc>
        <w:tc>
          <w:tcPr>
            <w:tcW w:w="22" w:type="dxa"/>
            <w:tcBorders>
              <w:top w:val="single" w:sz="4" w:space="0" w:color="auto"/>
              <w:left w:val="nil"/>
              <w:bottom w:val="single" w:sz="4" w:space="0" w:color="auto"/>
              <w:right w:val="nil"/>
            </w:tcBorders>
          </w:tcPr>
          <w:p w14:paraId="6E57E8AB" w14:textId="77777777" w:rsidR="00D53457" w:rsidRPr="00102620" w:rsidRDefault="00D53457" w:rsidP="00152D4E">
            <w:pPr>
              <w:widowControl/>
              <w:jc w:val="left"/>
              <w:textAlignment w:val="center"/>
              <w:rPr>
                <w:rFonts w:ascii="Times New Roman" w:hAnsi="Times New Roman" w:cs="Times New Roman"/>
                <w:color w:val="000000"/>
                <w:kern w:val="0"/>
                <w:sz w:val="22"/>
                <w:lang w:bidi="ar"/>
              </w:rPr>
            </w:pPr>
          </w:p>
        </w:tc>
        <w:tc>
          <w:tcPr>
            <w:tcW w:w="1589" w:type="dxa"/>
            <w:tcBorders>
              <w:top w:val="single" w:sz="4" w:space="0" w:color="auto"/>
              <w:left w:val="nil"/>
              <w:bottom w:val="single" w:sz="4" w:space="0" w:color="auto"/>
              <w:right w:val="nil"/>
            </w:tcBorders>
            <w:noWrap/>
            <w:tcMar>
              <w:top w:w="12" w:type="dxa"/>
              <w:left w:w="12" w:type="dxa"/>
              <w:right w:w="12" w:type="dxa"/>
            </w:tcMar>
            <w:vAlign w:val="center"/>
          </w:tcPr>
          <w:p w14:paraId="3D85ED58" w14:textId="77777777" w:rsidR="00D53457" w:rsidRPr="00102620" w:rsidRDefault="00D53457"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Reference</w:t>
            </w:r>
          </w:p>
        </w:tc>
      </w:tr>
      <w:tr w:rsidR="00D53457" w:rsidRPr="00102620" w14:paraId="05CFACDC"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51DDB375" w14:textId="69F3305D" w:rsidR="00D53457" w:rsidRPr="00102620" w:rsidRDefault="00B72CFA"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POP-SH</w:t>
            </w:r>
          </w:p>
        </w:tc>
        <w:tc>
          <w:tcPr>
            <w:tcW w:w="61" w:type="dxa"/>
            <w:tcBorders>
              <w:top w:val="nil"/>
              <w:left w:val="nil"/>
              <w:bottom w:val="nil"/>
              <w:right w:val="nil"/>
            </w:tcBorders>
            <w:noWrap/>
            <w:tcMar>
              <w:top w:w="12" w:type="dxa"/>
              <w:left w:w="12" w:type="dxa"/>
              <w:right w:w="12" w:type="dxa"/>
            </w:tcMar>
            <w:vAlign w:val="center"/>
          </w:tcPr>
          <w:p w14:paraId="413A6E97" w14:textId="77777777" w:rsidR="00D53457" w:rsidRPr="00102620" w:rsidRDefault="00D53457" w:rsidP="00152D4E">
            <w:pPr>
              <w:rPr>
                <w:rFonts w:ascii="Times New Roman" w:hAnsi="Times New Roman" w:cs="Times New Roman"/>
                <w:color w:val="000000"/>
                <w:sz w:val="22"/>
              </w:rPr>
            </w:pPr>
          </w:p>
        </w:tc>
        <w:tc>
          <w:tcPr>
            <w:tcW w:w="1925" w:type="dxa"/>
            <w:tcBorders>
              <w:top w:val="nil"/>
              <w:left w:val="nil"/>
              <w:bottom w:val="nil"/>
              <w:right w:val="nil"/>
            </w:tcBorders>
            <w:noWrap/>
            <w:tcMar>
              <w:top w:w="12" w:type="dxa"/>
              <w:left w:w="12" w:type="dxa"/>
              <w:right w:w="12" w:type="dxa"/>
            </w:tcMar>
            <w:vAlign w:val="center"/>
          </w:tcPr>
          <w:p w14:paraId="79B15D96" w14:textId="7F534E24" w:rsidR="00D53457" w:rsidRPr="00102620" w:rsidRDefault="00B72CFA"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180</w:t>
            </w:r>
          </w:p>
        </w:tc>
        <w:tc>
          <w:tcPr>
            <w:tcW w:w="2196" w:type="dxa"/>
            <w:tcBorders>
              <w:top w:val="nil"/>
              <w:left w:val="nil"/>
              <w:bottom w:val="nil"/>
              <w:right w:val="nil"/>
            </w:tcBorders>
            <w:noWrap/>
            <w:tcMar>
              <w:top w:w="12" w:type="dxa"/>
              <w:left w:w="12" w:type="dxa"/>
              <w:right w:w="12" w:type="dxa"/>
            </w:tcMar>
            <w:vAlign w:val="center"/>
          </w:tcPr>
          <w:p w14:paraId="24602F51" w14:textId="6814826E" w:rsidR="00D53457" w:rsidRPr="00102620" w:rsidRDefault="00B72CFA"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0.01g/10mL</w:t>
            </w:r>
          </w:p>
        </w:tc>
        <w:tc>
          <w:tcPr>
            <w:tcW w:w="22" w:type="dxa"/>
            <w:tcBorders>
              <w:top w:val="nil"/>
              <w:left w:val="nil"/>
              <w:bottom w:val="nil"/>
              <w:right w:val="nil"/>
            </w:tcBorders>
          </w:tcPr>
          <w:p w14:paraId="48647B3E" w14:textId="77777777" w:rsidR="00D53457" w:rsidRPr="00102620" w:rsidRDefault="00D53457" w:rsidP="00152D4E">
            <w:pPr>
              <w:rPr>
                <w:rFonts w:ascii="Times New Roman" w:hAnsi="Times New Roman" w:cs="Times New Roman"/>
                <w:color w:val="000000"/>
                <w:sz w:val="22"/>
              </w:rPr>
            </w:pPr>
          </w:p>
        </w:tc>
        <w:tc>
          <w:tcPr>
            <w:tcW w:w="1589" w:type="dxa"/>
            <w:tcBorders>
              <w:top w:val="nil"/>
              <w:left w:val="nil"/>
              <w:bottom w:val="nil"/>
              <w:right w:val="nil"/>
            </w:tcBorders>
            <w:noWrap/>
            <w:tcMar>
              <w:top w:w="12" w:type="dxa"/>
              <w:left w:w="12" w:type="dxa"/>
              <w:right w:w="12" w:type="dxa"/>
            </w:tcMar>
            <w:vAlign w:val="center"/>
          </w:tcPr>
          <w:p w14:paraId="51D8D0D0" w14:textId="4E7395FC" w:rsidR="00D53457" w:rsidRPr="00102620" w:rsidRDefault="005B43A1"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7A7E78" w:rsidRPr="00102620">
              <w:rPr>
                <w:rFonts w:ascii="Times New Roman" w:hAnsi="Times New Roman" w:cs="Times New Roman"/>
                <w:color w:val="000000"/>
                <w:sz w:val="18"/>
                <w:szCs w:val="18"/>
              </w:rPr>
              <w:instrText xml:space="preserve"> ADDIN ZOTERO_ITEM CSL_CITATION {"citationID":"XdQLMsea","properties":{"formattedCitation":"[1]","plainCitation":"[1]","noteIndex":0},"citationItems":[{"id":"6u0VjvLH/fGZy3crT","uris":["http://zotero.org/users/local/P3i3ISzB/items/K3996RWZ"],"itemData":{"id":209,"type":"article-journal","abstract":"The purpose of this work is to prepare effective adsorbents for simultaneously removing Hg(II) ion and aromatic pollutants in water, which still remains a great challenge presently due to their different physicochemical properties. Herein, two new thiol-/thioether-functionalized porous organic polymers were prepared and characterized by scanning electron microscopy, infrared spectra, 13C CP/MAS nuclear magnetic resonance spectra, energy-dispersive X-ray spectroscopy, elemental analysis, thermo-gravimetric analysis, and nitrogen adsorption–desorption isotherms. The results showed that the two adsorbents had a loosely porous structure, high BET surface area, and good thermal and chemical stability. The optimal pH value for the two new adsorbents to uptake Hg(II) was 3–4. The new adsorbents presented a high adsorption ability with the maximum adsorption capacity of 180 mg g−1 for Hg(II) and 358–452 mg g−1 for aromatic pollutants (toluene and m-xylene as models) and acceptable/fast binding kinetics for Hg(II) and aromatic pollutants, respectively. The adsorbents also showed high adsorption selectivity for Hg(II) in the presence of commonly coexisting metal ions. Moreover, the two adsorbents had good simultaneous removal ability for Hg(II) and the aromatic pollutants at different concentrations and good reusability. Finally, the two new adsorbents were used successfully for the simultaneous and highly efficient removal of Hg(II) ion and aromatic pollutants in simulated sewage with removal efficiencies higher than 88% for Hg(II) and higher than 93% for the aromatic pollutants (10 mg of adsorbent mixed with 10 mL of sewage containing Hg(II) and the aromatic pollutants at 10 μg mL−1 for each one), indicating their great potential to be applied for the simultaneous removal of Hg(II) and aromatic pollutants in real sewage or wastewater.","container-title":"New Journal of Chemistry","DOI":"10.1039/C9NJ01111K","ISSN":"1369-9261","issue":"20","journalAbbreviation":"New J. Chem.","language":"en","note":"publisher: The Royal Society of Chemistry","page":"7683-7693","source":"pubs.rsc.org","title":"Thiol-/thioether-functionalized porous organic polymers for simultaneous removal of mercury(II) ion and aromatic pollutants in water","volume":"43","author":[{"family":"Cheng","given":"Jincheng"},{"family":"Li","given":"Yifan"},{"family":"Li","given":"Li"},{"family":"Lu","given":"Pengpeng"},{"family":"Wang","given":"Qiang"},{"family":"He","given":"Chiyang"}],"issued":{"date-parts":[["2019",5,20]]}}}],"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[1]</w:t>
            </w:r>
            <w:r w:rsidRPr="00102620">
              <w:rPr>
                <w:rFonts w:ascii="Times New Roman" w:hAnsi="Times New Roman" w:cs="Times New Roman"/>
                <w:color w:val="000000"/>
                <w:sz w:val="18"/>
                <w:szCs w:val="18"/>
              </w:rPr>
              <w:fldChar w:fldCharType="end"/>
            </w:r>
          </w:p>
        </w:tc>
      </w:tr>
      <w:tr w:rsidR="00D53457" w:rsidRPr="00102620" w14:paraId="75AB704A"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0B27199D" w14:textId="79A5EB22" w:rsidR="00D53457" w:rsidRPr="00102620" w:rsidRDefault="00511F96"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TP-TC-MA</w:t>
            </w:r>
          </w:p>
        </w:tc>
        <w:tc>
          <w:tcPr>
            <w:tcW w:w="61" w:type="dxa"/>
            <w:tcBorders>
              <w:top w:val="nil"/>
              <w:left w:val="nil"/>
              <w:bottom w:val="nil"/>
              <w:right w:val="nil"/>
            </w:tcBorders>
            <w:noWrap/>
            <w:tcMar>
              <w:top w:w="12" w:type="dxa"/>
              <w:left w:w="12" w:type="dxa"/>
              <w:right w:w="12" w:type="dxa"/>
            </w:tcMar>
            <w:vAlign w:val="center"/>
          </w:tcPr>
          <w:p w14:paraId="760E5D85" w14:textId="77777777" w:rsidR="00D53457" w:rsidRPr="00102620" w:rsidRDefault="00D53457" w:rsidP="00152D4E">
            <w:pPr>
              <w:rPr>
                <w:rFonts w:ascii="Times New Roman" w:hAnsi="Times New Roman" w:cs="Times New Roman"/>
                <w:color w:val="000000"/>
                <w:sz w:val="22"/>
              </w:rPr>
            </w:pPr>
          </w:p>
        </w:tc>
        <w:tc>
          <w:tcPr>
            <w:tcW w:w="1925" w:type="dxa"/>
            <w:tcBorders>
              <w:top w:val="nil"/>
              <w:left w:val="nil"/>
              <w:bottom w:val="nil"/>
              <w:right w:val="nil"/>
            </w:tcBorders>
            <w:noWrap/>
            <w:tcMar>
              <w:top w:w="12" w:type="dxa"/>
              <w:left w:w="12" w:type="dxa"/>
              <w:right w:w="12" w:type="dxa"/>
            </w:tcMar>
            <w:vAlign w:val="center"/>
          </w:tcPr>
          <w:p w14:paraId="2026AE14" w14:textId="42B557D0" w:rsidR="00D53457" w:rsidRPr="00102620" w:rsidRDefault="005101B5"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351.6</w:t>
            </w:r>
          </w:p>
        </w:tc>
        <w:tc>
          <w:tcPr>
            <w:tcW w:w="2196" w:type="dxa"/>
            <w:tcBorders>
              <w:top w:val="nil"/>
              <w:left w:val="nil"/>
              <w:bottom w:val="nil"/>
              <w:right w:val="nil"/>
            </w:tcBorders>
            <w:noWrap/>
            <w:tcMar>
              <w:top w:w="12" w:type="dxa"/>
              <w:left w:w="12" w:type="dxa"/>
              <w:right w:w="12" w:type="dxa"/>
            </w:tcMar>
            <w:vAlign w:val="center"/>
          </w:tcPr>
          <w:p w14:paraId="06F10B5D" w14:textId="6B669571" w:rsidR="00D53457" w:rsidRPr="00102620" w:rsidRDefault="00511F96"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0.02g/25mL</w:t>
            </w:r>
          </w:p>
        </w:tc>
        <w:tc>
          <w:tcPr>
            <w:tcW w:w="22" w:type="dxa"/>
            <w:tcBorders>
              <w:top w:val="nil"/>
              <w:left w:val="nil"/>
              <w:bottom w:val="nil"/>
              <w:right w:val="nil"/>
            </w:tcBorders>
          </w:tcPr>
          <w:p w14:paraId="03A4A98B" w14:textId="77777777" w:rsidR="00D53457" w:rsidRPr="00102620" w:rsidRDefault="00D53457" w:rsidP="00152D4E">
            <w:pPr>
              <w:rPr>
                <w:rFonts w:ascii="Times New Roman" w:hAnsi="Times New Roman" w:cs="Times New Roman"/>
                <w:color w:val="000000"/>
                <w:sz w:val="22"/>
              </w:rPr>
            </w:pPr>
          </w:p>
        </w:tc>
        <w:tc>
          <w:tcPr>
            <w:tcW w:w="1589" w:type="dxa"/>
            <w:tcBorders>
              <w:top w:val="nil"/>
              <w:left w:val="nil"/>
              <w:bottom w:val="nil"/>
              <w:right w:val="nil"/>
            </w:tcBorders>
            <w:noWrap/>
            <w:tcMar>
              <w:top w:w="12" w:type="dxa"/>
              <w:left w:w="12" w:type="dxa"/>
              <w:right w:w="12" w:type="dxa"/>
            </w:tcMar>
            <w:vAlign w:val="center"/>
          </w:tcPr>
          <w:p w14:paraId="5F08F4FD" w14:textId="27AF8064" w:rsidR="00D53457" w:rsidRPr="00102620" w:rsidRDefault="005B43A1"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7A7E78" w:rsidRPr="00102620">
              <w:rPr>
                <w:rFonts w:ascii="Times New Roman" w:hAnsi="Times New Roman" w:cs="Times New Roman"/>
                <w:color w:val="000000"/>
                <w:sz w:val="18"/>
                <w:szCs w:val="18"/>
              </w:rPr>
              <w:instrText xml:space="preserve"> ADDIN ZOTERO_ITEM CSL_CITATION {"citationID":"iKZQEj9K","properties":{"formattedCitation":"[2]","plainCitation":"[2]","noteIndex":0},"citationItems":[{"id":"6u0VjvLH/zcSszS1n","uris":["http://zotero.org/users/local/P3i3ISzB/items/2XRV4FTD"],"itemData":{"id":213,"type":"article-journal","abstract":"In this study, a novel porous organic polymer modified by melamine (MA-POP) was prepared via a post-modification procedure for the Hg2+ removal from aqueous solutions. The use of melamine as the rigid crosslinker endowed the polymer with high surface area (669 m2 g−1), total pore volume (0.668 mL g−1) and nitrogen content. The material exhibited rapid adsorption kinetic for Hg2+, and the adsorption equilibrium can be reached within 10 min. The adsorption progress was more satisfyingly described by the pseudo-second-order kinetic model and the Langmuir isotherm model with a maximum adsorption capacity of 351.6 mg g−1. XPS and FT-IR spectra suggested that the main adsorption mechanism was chelation between nitrogen groups and Hg2+. Besides, the adsorbent possessed high adsorption selectivity towards Hg2+ in the presence of other eight coexisting metal ions and maintained good adsorption capacity even after five cycles. Therefore, the obtained MA-POP is qualified as a reliable adsorbent for Hg2+ removal.","container-title":"Separation and Purification Technology","DOI":"10.1016/j.seppur.2021.119097","ISSN":"1383-5866","journalAbbreviation":"Separation and Purification Technology","language":"en","page":"119097","source":"ScienceDirect","title":"Facile synthesis of Melamine-Modified porous organic polymer for mercury (II) removal","volume":"274","author":[{"family":"Zhang","given":"Chong"},{"family":"Peng","given":"Zifang"},{"family":"Guo","given":"Yun"},{"family":"Zhang","given":"Yanhao"},{"family":"Zhao","given":"Wuduo"},{"family":"Yang","given":"Jiewei"},{"family":"Zhang","given":"Shusheng"},{"family":"Zhang","given":"Wenfen"}],"issued":{"date-parts":[["2021",11,1]]}}}],"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[2]</w:t>
            </w:r>
            <w:r w:rsidRPr="00102620">
              <w:rPr>
                <w:rFonts w:ascii="Times New Roman" w:hAnsi="Times New Roman" w:cs="Times New Roman"/>
                <w:color w:val="000000"/>
                <w:sz w:val="18"/>
                <w:szCs w:val="18"/>
              </w:rPr>
              <w:fldChar w:fldCharType="end"/>
            </w:r>
          </w:p>
        </w:tc>
      </w:tr>
      <w:tr w:rsidR="00D53457" w:rsidRPr="00102620" w14:paraId="397F5921"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4CFFB3AE" w14:textId="420BC621" w:rsidR="00D53457" w:rsidRPr="00102620" w:rsidRDefault="00B72CFA"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COF-S-SH</w:t>
            </w:r>
          </w:p>
        </w:tc>
        <w:tc>
          <w:tcPr>
            <w:tcW w:w="61" w:type="dxa"/>
            <w:tcBorders>
              <w:top w:val="nil"/>
              <w:left w:val="nil"/>
              <w:bottom w:val="nil"/>
              <w:right w:val="nil"/>
            </w:tcBorders>
            <w:noWrap/>
            <w:tcMar>
              <w:top w:w="12" w:type="dxa"/>
              <w:left w:w="12" w:type="dxa"/>
              <w:right w:w="12" w:type="dxa"/>
            </w:tcMar>
            <w:vAlign w:val="center"/>
          </w:tcPr>
          <w:p w14:paraId="089CEA2A" w14:textId="77777777" w:rsidR="00D53457" w:rsidRPr="00102620" w:rsidRDefault="00D53457" w:rsidP="00152D4E">
            <w:pPr>
              <w:rPr>
                <w:rFonts w:ascii="Times New Roman" w:hAnsi="Times New Roman" w:cs="Times New Roman"/>
                <w:color w:val="000000"/>
                <w:sz w:val="22"/>
              </w:rPr>
            </w:pPr>
          </w:p>
        </w:tc>
        <w:tc>
          <w:tcPr>
            <w:tcW w:w="1925" w:type="dxa"/>
            <w:tcBorders>
              <w:top w:val="nil"/>
              <w:left w:val="nil"/>
              <w:bottom w:val="nil"/>
              <w:right w:val="nil"/>
            </w:tcBorders>
            <w:noWrap/>
            <w:tcMar>
              <w:top w:w="12" w:type="dxa"/>
              <w:left w:w="12" w:type="dxa"/>
              <w:right w:w="12" w:type="dxa"/>
            </w:tcMar>
            <w:vAlign w:val="center"/>
          </w:tcPr>
          <w:p w14:paraId="06CFF978" w14:textId="192F87A6" w:rsidR="00D53457" w:rsidRPr="00102620" w:rsidRDefault="00B72CFA"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1350</w:t>
            </w:r>
          </w:p>
        </w:tc>
        <w:tc>
          <w:tcPr>
            <w:tcW w:w="2196" w:type="dxa"/>
            <w:tcBorders>
              <w:top w:val="nil"/>
              <w:left w:val="nil"/>
              <w:bottom w:val="nil"/>
              <w:right w:val="nil"/>
            </w:tcBorders>
            <w:noWrap/>
            <w:tcMar>
              <w:top w:w="12" w:type="dxa"/>
              <w:left w:w="12" w:type="dxa"/>
              <w:right w:w="12" w:type="dxa"/>
            </w:tcMar>
            <w:vAlign w:val="center"/>
          </w:tcPr>
          <w:p w14:paraId="73A22A83" w14:textId="0D8B7963" w:rsidR="00D53457" w:rsidRPr="00102620" w:rsidRDefault="00B72CFA" w:rsidP="00152D4E">
            <w:pPr>
              <w:jc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0.005g/10mL</w:t>
            </w:r>
          </w:p>
        </w:tc>
        <w:tc>
          <w:tcPr>
            <w:tcW w:w="22" w:type="dxa"/>
            <w:tcBorders>
              <w:top w:val="nil"/>
              <w:left w:val="nil"/>
              <w:bottom w:val="nil"/>
              <w:right w:val="nil"/>
            </w:tcBorders>
          </w:tcPr>
          <w:p w14:paraId="23D9BB9B" w14:textId="77777777" w:rsidR="00D53457" w:rsidRPr="00102620" w:rsidRDefault="00D53457" w:rsidP="00152D4E">
            <w:pPr>
              <w:rPr>
                <w:rFonts w:ascii="Times New Roman" w:hAnsi="Times New Roman" w:cs="Times New Roman"/>
                <w:color w:val="000000"/>
                <w:sz w:val="22"/>
              </w:rPr>
            </w:pPr>
          </w:p>
        </w:tc>
        <w:tc>
          <w:tcPr>
            <w:tcW w:w="1589" w:type="dxa"/>
            <w:tcBorders>
              <w:top w:val="nil"/>
              <w:left w:val="nil"/>
              <w:bottom w:val="nil"/>
              <w:right w:val="nil"/>
            </w:tcBorders>
            <w:noWrap/>
            <w:tcMar>
              <w:top w:w="12" w:type="dxa"/>
              <w:left w:w="12" w:type="dxa"/>
              <w:right w:w="12" w:type="dxa"/>
            </w:tcMar>
            <w:vAlign w:val="center"/>
          </w:tcPr>
          <w:p w14:paraId="72FEF163" w14:textId="4E0D789E" w:rsidR="00D53457" w:rsidRPr="00102620" w:rsidRDefault="005B43A1"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5ydNhRIN","properties":{"formattedCitation":"[3]","plainCitation":"[3]","noteIndex":0},"citationItems":[{"id":482,"uris":["http://zotero.org/users/local/P3i3ISzB/items/84UFRI58","http://zotero.org/users/10838995/items/84UFRI58"],"itemData":{"id":482,"type":"article-journal","abstract":"A key challenge in environmental remediation is the design of adsorbents bearing an abundance of accessible chelating sites with high affinity, to achieve both rapid uptake and high capacity for the contaminants. Herein, we demonstrate how two-dimensional covalent organic frameworks (COFs) with well-defined mesopore structures display the right combination of properties to serve as a scaffold for decorating coordination sites to create ideal adsorbents. The proof-of-concept design is illustrated by modifying sulfur derivatives on a newly designed vinyl-functionalized mesoporous COF (COF-V) via thiol-ene \"click\" reaction. Representatively, the material (COF-S-SH) synthesized by treating COF-V with 1,2-ethanedithiol exhibits high efficiency in removing mercury from aqueous solutions and the air, affording Hg(2+) and Hg(0) capacities of 1350 and 863 mg g(-1), respectively, surpassing all those of thiol and thioether functionalized materials reported thus far. More significantly, COF-S-SH demonstrates an ultrahigh distribution coefficient value (K(d)) of 2.3 x 10(9) mL g(-1), which allows it to rapidly reduce the Hg(2+) concentration from 5 ppm to less than 0.1 ppb, well below the acceptable limit in drinking water (2 ppb). We attribute the impressive performance to the synergistic effects arising from densely populated chelating groups with a strong binding ability within ordered mesopores that allow rapid diffusion of mercury species throughout the material. X-ray absorption fine structure (XAFS) spectroscopic studies revealed that each Hg is bound exclusively by two S via intramolecular cooperativity in COF-S-SH, further interpreting its excellent affinity. The results presented here thus reveal the exceptional potential of COFs for high-performance environmental remediation.","container-title":"J Am Chem Soc","DOI":"10.1021/jacs.6b12885","ISSN":"1520-5126 (Electronic) 0002-7863 (Linking)","issue":"7","page":"2786-2793","title":"Postsynthetically Modified Covalent Organic Frameworks for Efficient and Effective Mercury Removal","volume":"139","author":[{"family":"Sun","given":"Q."},{"family":"Aguila","given":"B."},{"family":"Perman","given":"J."},{"family":"Earl","given":"L. D."},{"family":"Abney","given":"C. W."},{"family":"Cheng","given":"Y."},{"family":"Wei","given":"H."},{"family":"Nguyen","given":"N."},{"family":"Wojtas","given":"L."},{"family":"Ma","given":"S."}],"issued":{"date-parts":[["2017",2,22]]}}}],"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[3]</w:t>
            </w:r>
            <w:r w:rsidRPr="00102620">
              <w:rPr>
                <w:rFonts w:ascii="Times New Roman" w:hAnsi="Times New Roman" w:cs="Times New Roman"/>
                <w:color w:val="000000"/>
                <w:sz w:val="18"/>
                <w:szCs w:val="18"/>
              </w:rPr>
              <w:fldChar w:fldCharType="end"/>
            </w:r>
          </w:p>
        </w:tc>
      </w:tr>
      <w:tr w:rsidR="00D53457" w:rsidRPr="00102620" w14:paraId="1964A148"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7AE0B55F" w14:textId="77777777" w:rsidR="00D53457" w:rsidRPr="00102620" w:rsidRDefault="00D53457"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COP-108-S</w:t>
            </w:r>
          </w:p>
        </w:tc>
        <w:tc>
          <w:tcPr>
            <w:tcW w:w="61" w:type="dxa"/>
            <w:tcBorders>
              <w:top w:val="nil"/>
              <w:left w:val="nil"/>
              <w:bottom w:val="nil"/>
              <w:right w:val="nil"/>
            </w:tcBorders>
            <w:noWrap/>
            <w:tcMar>
              <w:top w:w="12" w:type="dxa"/>
              <w:left w:w="12" w:type="dxa"/>
              <w:right w:w="12" w:type="dxa"/>
            </w:tcMar>
            <w:vAlign w:val="center"/>
          </w:tcPr>
          <w:p w14:paraId="199AEDD5" w14:textId="77777777" w:rsidR="00D53457" w:rsidRPr="00102620" w:rsidRDefault="00D53457" w:rsidP="00152D4E">
            <w:pPr>
              <w:rPr>
                <w:rFonts w:ascii="Times New Roman" w:hAnsi="Times New Roman" w:cs="Times New Roman"/>
                <w:color w:val="000000"/>
                <w:sz w:val="22"/>
              </w:rPr>
            </w:pPr>
          </w:p>
        </w:tc>
        <w:tc>
          <w:tcPr>
            <w:tcW w:w="1925" w:type="dxa"/>
            <w:tcBorders>
              <w:top w:val="nil"/>
              <w:left w:val="nil"/>
              <w:bottom w:val="nil"/>
              <w:right w:val="nil"/>
            </w:tcBorders>
            <w:noWrap/>
            <w:tcMar>
              <w:top w:w="12" w:type="dxa"/>
              <w:left w:w="12" w:type="dxa"/>
              <w:right w:w="12" w:type="dxa"/>
            </w:tcMar>
            <w:vAlign w:val="center"/>
          </w:tcPr>
          <w:p w14:paraId="67A2C2A4" w14:textId="7E41FCE3" w:rsidR="00D53457" w:rsidRPr="00102620" w:rsidRDefault="005F1A35"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241</w:t>
            </w:r>
          </w:p>
        </w:tc>
        <w:tc>
          <w:tcPr>
            <w:tcW w:w="2196" w:type="dxa"/>
            <w:tcBorders>
              <w:top w:val="nil"/>
              <w:left w:val="nil"/>
              <w:bottom w:val="nil"/>
              <w:right w:val="nil"/>
            </w:tcBorders>
            <w:noWrap/>
            <w:tcMar>
              <w:top w:w="12" w:type="dxa"/>
              <w:left w:w="12" w:type="dxa"/>
              <w:right w:w="12" w:type="dxa"/>
            </w:tcMar>
            <w:vAlign w:val="center"/>
          </w:tcPr>
          <w:p w14:paraId="6A120B9B" w14:textId="4DB1DC14" w:rsidR="00D53457" w:rsidRPr="00102620" w:rsidRDefault="0074103D"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0.03</w:t>
            </w:r>
            <w:r w:rsidR="00753CBA" w:rsidRPr="00102620">
              <w:rPr>
                <w:rFonts w:ascii="Times New Roman" w:hAnsi="Times New Roman" w:cs="Times New Roman"/>
                <w:color w:val="000000"/>
                <w:sz w:val="18"/>
                <w:szCs w:val="18"/>
              </w:rPr>
              <w:t>g/30mL</w:t>
            </w:r>
          </w:p>
        </w:tc>
        <w:tc>
          <w:tcPr>
            <w:tcW w:w="22" w:type="dxa"/>
            <w:tcBorders>
              <w:top w:val="nil"/>
              <w:left w:val="nil"/>
              <w:bottom w:val="nil"/>
              <w:right w:val="nil"/>
            </w:tcBorders>
          </w:tcPr>
          <w:p w14:paraId="246C0814" w14:textId="77777777" w:rsidR="00D53457" w:rsidRPr="00102620" w:rsidRDefault="00D53457" w:rsidP="00152D4E">
            <w:pPr>
              <w:rPr>
                <w:rFonts w:ascii="Times New Roman" w:hAnsi="Times New Roman" w:cs="Times New Roman"/>
                <w:color w:val="000000"/>
                <w:sz w:val="22"/>
              </w:rPr>
            </w:pPr>
          </w:p>
        </w:tc>
        <w:tc>
          <w:tcPr>
            <w:tcW w:w="1589" w:type="dxa"/>
            <w:tcBorders>
              <w:top w:val="nil"/>
              <w:left w:val="nil"/>
              <w:bottom w:val="nil"/>
              <w:right w:val="nil"/>
            </w:tcBorders>
            <w:noWrap/>
            <w:tcMar>
              <w:top w:w="12" w:type="dxa"/>
              <w:left w:w="12" w:type="dxa"/>
              <w:right w:w="12" w:type="dxa"/>
            </w:tcMar>
            <w:vAlign w:val="center"/>
          </w:tcPr>
          <w:p w14:paraId="5F7EAAA0" w14:textId="354CABAF" w:rsidR="00D53457" w:rsidRPr="00102620" w:rsidRDefault="005B43A1"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KTuDY75M","properties":{"formattedCitation":"[4]","plainCitation":"[4]","noteIndex":0},"citationItems":[{"id":214,"uris":["http://zotero.org/users/local/P3i3ISzB/items/TWLWFDU5","http://zotero.org/users/10838995/items/TWLWFDU5"],"itemData":{"id":214,"type":"article-journal","abstract":"As one of the most toxic heavy metals to human beings and the environment, how to simultaneously achieve fluorescence detection and removal of mercury in wastewater is still a challenge and rarely reported. Here, we for the first time synthesize a sulfur-modified covalent organic polymer (COP-108-S) by using facile Ni-catalyzed Yamamoto coupling reactions, and achieve the bifunctional application of COP-108-S for Hg2+ fluorescence detection with a detection limit of 1.44 mM and simultaneous removal with a capacity of 241 mg g−1. On the contrary, the corresponding counterpart (COP-108) without sulfur-modification does not possess the bifunctional property, which means that the sulfur-modification is the key to the bifunctional property of COP-108-S. In addition, COP-108-S also shows good recycle use performance with 99% removal efficiency after five cycles. In short, sulfur-modification may be a useful strategy to develop bifunctional COP materials for simultaneous removal and detection of toxic heavy metal ions.","container-title":"Materials Chemistry Frontiers","DOI":"10.1039/D1QM00130B","ISSN":"2052-1537","issue":"8","journalAbbreviation":"Mater. Chem. Front.","language":"en","note":"publisher: The Royal Society of Chemistry","page":"3428-3435","source":"pubs.rsc.org","title":"Sulfur-modified porous covalent organic polymers as bifunctional materials for efficient fluorescence detection and fast removal of heavy metal ions","volume":"5","author":[{"family":"Li","given":"Jin"},{"family":"Wang","given":"Shitao"},{"family":"Cao","given":"Xiaohua"},{"family":"Huang","given":"Huanan"},{"family":"Cao","given":"Dapeng"}],"issued":{"date-parts":[["2021",4,20]]}}}],"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[4]</w:t>
            </w:r>
            <w:r w:rsidRPr="00102620">
              <w:rPr>
                <w:rFonts w:ascii="Times New Roman" w:hAnsi="Times New Roman" w:cs="Times New Roman"/>
                <w:color w:val="000000"/>
                <w:sz w:val="18"/>
                <w:szCs w:val="18"/>
              </w:rPr>
              <w:fldChar w:fldCharType="end"/>
            </w:r>
          </w:p>
        </w:tc>
      </w:tr>
      <w:tr w:rsidR="00D53457" w:rsidRPr="00102620" w14:paraId="2F80083D"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448C02E0" w14:textId="77777777" w:rsidR="00D53457" w:rsidRPr="00102620" w:rsidRDefault="00D53457" w:rsidP="00152D4E">
            <w:pPr>
              <w:widowControl/>
              <w:jc w:val="center"/>
              <w:textAlignment w:val="center"/>
              <w:rPr>
                <w:rFonts w:ascii="Times New Roman" w:hAnsi="Times New Roman" w:cs="Times New Roman"/>
                <w:color w:val="000000"/>
                <w:sz w:val="18"/>
                <w:szCs w:val="18"/>
              </w:rPr>
            </w:pPr>
            <w:proofErr w:type="spellStart"/>
            <w:r w:rsidRPr="00102620">
              <w:rPr>
                <w:rFonts w:ascii="Times New Roman" w:hAnsi="Times New Roman" w:cs="Times New Roman"/>
                <w:color w:val="000000"/>
                <w:kern w:val="0"/>
                <w:sz w:val="18"/>
                <w:szCs w:val="18"/>
                <w:lang w:bidi="ar"/>
              </w:rPr>
              <w:t>TpTSC</w:t>
            </w:r>
            <w:proofErr w:type="spellEnd"/>
          </w:p>
        </w:tc>
        <w:tc>
          <w:tcPr>
            <w:tcW w:w="61" w:type="dxa"/>
            <w:tcBorders>
              <w:top w:val="nil"/>
              <w:left w:val="nil"/>
              <w:bottom w:val="nil"/>
              <w:right w:val="nil"/>
            </w:tcBorders>
            <w:noWrap/>
            <w:tcMar>
              <w:top w:w="12" w:type="dxa"/>
              <w:left w:w="12" w:type="dxa"/>
              <w:right w:w="12" w:type="dxa"/>
            </w:tcMar>
            <w:vAlign w:val="center"/>
          </w:tcPr>
          <w:p w14:paraId="4A571C4C" w14:textId="77777777" w:rsidR="00D53457" w:rsidRPr="00102620" w:rsidRDefault="00D53457" w:rsidP="00152D4E">
            <w:pPr>
              <w:rPr>
                <w:rFonts w:ascii="Times New Roman" w:hAnsi="Times New Roman" w:cs="Times New Roman"/>
                <w:color w:val="000000"/>
                <w:sz w:val="22"/>
              </w:rPr>
            </w:pPr>
          </w:p>
        </w:tc>
        <w:tc>
          <w:tcPr>
            <w:tcW w:w="1925" w:type="dxa"/>
            <w:tcBorders>
              <w:top w:val="nil"/>
              <w:left w:val="nil"/>
              <w:bottom w:val="nil"/>
              <w:right w:val="nil"/>
            </w:tcBorders>
            <w:noWrap/>
            <w:tcMar>
              <w:top w:w="12" w:type="dxa"/>
              <w:left w:w="12" w:type="dxa"/>
              <w:right w:w="12" w:type="dxa"/>
            </w:tcMar>
            <w:vAlign w:val="center"/>
          </w:tcPr>
          <w:p w14:paraId="0AE5700C" w14:textId="70660D68" w:rsidR="00D53457" w:rsidRPr="00102620" w:rsidRDefault="005F1A35"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1035</w:t>
            </w:r>
          </w:p>
        </w:tc>
        <w:tc>
          <w:tcPr>
            <w:tcW w:w="2196" w:type="dxa"/>
            <w:tcBorders>
              <w:top w:val="nil"/>
              <w:left w:val="nil"/>
              <w:bottom w:val="nil"/>
              <w:right w:val="nil"/>
            </w:tcBorders>
            <w:noWrap/>
            <w:tcMar>
              <w:top w:w="12" w:type="dxa"/>
              <w:left w:w="12" w:type="dxa"/>
              <w:right w:w="12" w:type="dxa"/>
            </w:tcMar>
            <w:vAlign w:val="center"/>
          </w:tcPr>
          <w:p w14:paraId="1F082712" w14:textId="4A71E484" w:rsidR="00D53457" w:rsidRPr="00102620" w:rsidRDefault="00753CBA"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0.01g/50mL</w:t>
            </w:r>
          </w:p>
        </w:tc>
        <w:tc>
          <w:tcPr>
            <w:tcW w:w="22" w:type="dxa"/>
            <w:tcBorders>
              <w:top w:val="nil"/>
              <w:left w:val="nil"/>
              <w:bottom w:val="nil"/>
              <w:right w:val="nil"/>
            </w:tcBorders>
          </w:tcPr>
          <w:p w14:paraId="370EB4B1" w14:textId="77777777" w:rsidR="00D53457" w:rsidRPr="00102620" w:rsidRDefault="00D53457" w:rsidP="00152D4E">
            <w:pPr>
              <w:rPr>
                <w:rFonts w:ascii="Times New Roman" w:hAnsi="Times New Roman" w:cs="Times New Roman"/>
                <w:color w:val="000000"/>
                <w:sz w:val="22"/>
              </w:rPr>
            </w:pPr>
          </w:p>
        </w:tc>
        <w:tc>
          <w:tcPr>
            <w:tcW w:w="1589" w:type="dxa"/>
            <w:tcBorders>
              <w:top w:val="nil"/>
              <w:left w:val="nil"/>
              <w:bottom w:val="nil"/>
              <w:right w:val="nil"/>
            </w:tcBorders>
            <w:noWrap/>
            <w:tcMar>
              <w:top w:w="12" w:type="dxa"/>
              <w:left w:w="12" w:type="dxa"/>
              <w:right w:w="12" w:type="dxa"/>
            </w:tcMar>
            <w:vAlign w:val="center"/>
          </w:tcPr>
          <w:p w14:paraId="4A36B30E" w14:textId="7CDEEB6B" w:rsidR="00D53457" w:rsidRPr="00102620" w:rsidRDefault="005B43A1"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aLtAKBcB","properties":{"formattedCitation":"[5]","plainCitation":"[5]","noteIndex":0},"citationItems":[{"id":486,"uris":["http://zotero.org/users/local/P3i3ISzB/items/3J6L6W58","http://zotero.org/users/10838995/items/3J6L6W58"],"itemData":{"id":486,"type":"article-journal","abstract":"Hg/Hg(II) is deemed to be the most toxic heavy metal to humans. Therefore, designing suitable adsorbents to simultaneously achieve high capacity, rapid mercury adsorption, and fluorescence detection is still an important challenge in overcoming Hg2+ pollution. Here, we report a flexible alkylamine covalent organic framework (TpTSC), which has been used as an efficient adsorbent and achieves the dual-functional application of TpTSC for Hg2+, with a fluorescence detection limit of 2 ppm and simultaneously a removal capacity of 1035 mg g(-1). It can remove 10 ppm mercury solution to below 2 ppb (drinking water standard) within 10 min, and the removal rate is as high as 99.98%. To a certain extent, it exceeds the recently reported thioether or thiol functionalized adsorbents. The kinetic study shows that TpTSC displays a very high K-d value, with K-d = 1.2 x 10(9) mL g(-1), which has a strong affinity for mercury. In addition, TpTSC displays a good recycling capacity, with a removal rate of over 90% after five cycles. In conclusion, sulfur modification is a useful strategy for developing dual-functional COFs to simultaneously remove and detect toxic heavy metal ions.","container-title":"ACS Applied Polymer Materials","DOI":"10.1021/acsapm.1c01349","ISSN":"2637-6105","issue":"2","language":"English","page":"849-858","title":"Detection and Removal of Mercury Ions in Water by a Covalent Organic Framework Rich in Sulfur and Nitrogen","volume":"4","author":[{"family":"Tang","given":"C. M."},{"family":"Qin","given":"Y. C."},{"family":"Ni","given":"C. L."},{"family":"Zou","given":"J. P."}],"issued":{"date-parts":[["2022",2,11]]}}}],"schema":"https://github.com/citation-style-language/schema/raw/master/csl-citation.json"}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[5]</w:t>
            </w:r>
            <w:r w:rsidRPr="00102620">
              <w:rPr>
                <w:rFonts w:ascii="Times New Roman" w:hAnsi="Times New Roman" w:cs="Times New Roman"/>
                <w:color w:val="000000"/>
                <w:sz w:val="18"/>
                <w:szCs w:val="18"/>
              </w:rPr>
              <w:fldChar w:fldCharType="end"/>
            </w:r>
          </w:p>
        </w:tc>
      </w:tr>
      <w:tr w:rsidR="00D53457" w:rsidRPr="00102620" w14:paraId="4BEED563"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5952E71B" w14:textId="623C6178" w:rsidR="00D53457" w:rsidRPr="00102620" w:rsidRDefault="00511F96" w:rsidP="00152D4E">
            <w:pPr>
              <w:widowControl/>
              <w:jc w:val="center"/>
              <w:textAlignment w:val="center"/>
              <w:rPr>
                <w:rFonts w:ascii="Times New Roman" w:hAnsi="Times New Roman" w:cs="Times New Roman"/>
                <w:color w:val="000000"/>
                <w:sz w:val="18"/>
                <w:szCs w:val="18"/>
              </w:rPr>
            </w:pPr>
            <w:proofErr w:type="spellStart"/>
            <w:r w:rsidRPr="00102620">
              <w:rPr>
                <w:rFonts w:ascii="Times New Roman" w:hAnsi="Times New Roman" w:cs="Times New Roman"/>
                <w:color w:val="000000"/>
                <w:kern w:val="0"/>
                <w:sz w:val="18"/>
                <w:szCs w:val="18"/>
                <w:lang w:bidi="ar"/>
              </w:rPr>
              <w:t>SA@MnNP</w:t>
            </w:r>
            <w:proofErr w:type="spellEnd"/>
          </w:p>
        </w:tc>
        <w:tc>
          <w:tcPr>
            <w:tcW w:w="61" w:type="dxa"/>
            <w:tcBorders>
              <w:top w:val="nil"/>
              <w:left w:val="nil"/>
              <w:bottom w:val="nil"/>
              <w:right w:val="nil"/>
            </w:tcBorders>
            <w:noWrap/>
            <w:tcMar>
              <w:top w:w="12" w:type="dxa"/>
              <w:left w:w="12" w:type="dxa"/>
              <w:right w:w="12" w:type="dxa"/>
            </w:tcMar>
            <w:vAlign w:val="center"/>
          </w:tcPr>
          <w:p w14:paraId="5C78EC5F" w14:textId="77777777" w:rsidR="00D53457" w:rsidRPr="00102620" w:rsidRDefault="00D53457" w:rsidP="00152D4E">
            <w:pPr>
              <w:widowControl/>
              <w:jc w:val="center"/>
              <w:textAlignment w:val="center"/>
              <w:rPr>
                <w:rFonts w:ascii="Times New Roman" w:hAnsi="Times New Roman" w:cs="Times New Roman"/>
                <w:color w:val="000000"/>
                <w:sz w:val="22"/>
              </w:rPr>
            </w:pPr>
            <w:r w:rsidRPr="00102620">
              <w:rPr>
                <w:rFonts w:ascii="Times New Roman" w:hAnsi="Times New Roman" w:cs="Times New Roman"/>
                <w:color w:val="000000"/>
                <w:kern w:val="0"/>
                <w:sz w:val="22"/>
                <w:lang w:bidi="ar"/>
              </w:rPr>
              <w:t xml:space="preserve">　</w:t>
            </w:r>
          </w:p>
        </w:tc>
        <w:tc>
          <w:tcPr>
            <w:tcW w:w="1925" w:type="dxa"/>
            <w:tcBorders>
              <w:top w:val="nil"/>
              <w:left w:val="nil"/>
              <w:bottom w:val="nil"/>
              <w:right w:val="nil"/>
            </w:tcBorders>
            <w:noWrap/>
            <w:tcMar>
              <w:top w:w="12" w:type="dxa"/>
              <w:left w:w="12" w:type="dxa"/>
              <w:right w:w="12" w:type="dxa"/>
            </w:tcMar>
            <w:vAlign w:val="center"/>
          </w:tcPr>
          <w:p w14:paraId="2610D221" w14:textId="73E8BBE3" w:rsidR="00D53457" w:rsidRPr="00102620" w:rsidRDefault="00511F96"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299</w:t>
            </w:r>
          </w:p>
        </w:tc>
        <w:tc>
          <w:tcPr>
            <w:tcW w:w="2196" w:type="dxa"/>
            <w:tcBorders>
              <w:top w:val="nil"/>
              <w:left w:val="nil"/>
              <w:bottom w:val="nil"/>
              <w:right w:val="nil"/>
            </w:tcBorders>
            <w:noWrap/>
            <w:tcMar>
              <w:top w:w="12" w:type="dxa"/>
              <w:left w:w="12" w:type="dxa"/>
              <w:right w:w="12" w:type="dxa"/>
            </w:tcMar>
            <w:vAlign w:val="center"/>
          </w:tcPr>
          <w:p w14:paraId="6E59F8C1" w14:textId="631E5251" w:rsidR="00D53457" w:rsidRPr="00102620" w:rsidRDefault="00511F96"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0.5g/30 mL</w:t>
            </w:r>
          </w:p>
        </w:tc>
        <w:tc>
          <w:tcPr>
            <w:tcW w:w="22" w:type="dxa"/>
            <w:tcBorders>
              <w:top w:val="nil"/>
              <w:left w:val="nil"/>
              <w:bottom w:val="nil"/>
              <w:right w:val="nil"/>
            </w:tcBorders>
          </w:tcPr>
          <w:p w14:paraId="4720B6E6" w14:textId="77777777" w:rsidR="00D53457" w:rsidRPr="00102620" w:rsidRDefault="00D53457" w:rsidP="00152D4E">
            <w:pPr>
              <w:widowControl/>
              <w:jc w:val="left"/>
              <w:textAlignment w:val="center"/>
              <w:rPr>
                <w:rFonts w:ascii="Times New Roman" w:hAnsi="Times New Roman" w:cs="Times New Roman"/>
                <w:color w:val="000000"/>
                <w:kern w:val="0"/>
                <w:sz w:val="22"/>
                <w:lang w:bidi="ar"/>
              </w:rPr>
            </w:pPr>
          </w:p>
        </w:tc>
        <w:tc>
          <w:tcPr>
            <w:tcW w:w="1589" w:type="dxa"/>
            <w:tcBorders>
              <w:top w:val="nil"/>
              <w:left w:val="nil"/>
              <w:bottom w:val="nil"/>
              <w:right w:val="nil"/>
            </w:tcBorders>
            <w:noWrap/>
            <w:tcMar>
              <w:top w:w="12" w:type="dxa"/>
              <w:left w:w="12" w:type="dxa"/>
              <w:right w:w="12" w:type="dxa"/>
            </w:tcMar>
            <w:vAlign w:val="center"/>
          </w:tcPr>
          <w:p w14:paraId="4D1579CF" w14:textId="5280C09F" w:rsidR="00D53457" w:rsidRPr="00102620" w:rsidRDefault="005B43A1"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diimh5OV","properties":{"formattedCitation":"[6]","plainCitation":"[6]","noteIndex":0},"citationItems":[{"id":216,"uris":["http://zotero.org/users/local/P3i3ISzB/items/NY4V5HPV","http://zotero.org/users/10838995/items/NY4V5HPV"],"itemData":{"id":216,"type":"article-journal","abstract":"Removal of mercury from aqueous solution has been investigated at different pHs, adsorbent dosage, contact time, temperature and initial concentrations of Hg(II) using an immobilized Mn nanoparticles (MnNPs) on mixed-oxides support. The as-prepared nanoadsorbent was characterized by elemental analysis, Fourier transform infrared (FTIR), UV–visible diffuse reflectance spectra (UV–vis DRS), inductively coupled plasma-atomic emission spectroscopy (ICP-AES), Brunauer–Emmett–Teller (BET), transmission electron microscopy (TEM), electron paramagnetic resonance (EPR), cyclic voltammetry (CV) and electrochemical impedance spectroscopy (EIS). EPR, CV and EIS of Mn ions evidenced that most of the covalently bond active sites of the nano-adsorbent are in the form of Mn(III) ions at the surface. The heterogeneous Mn(III)Cl NPs (5–30nm) were found to be effective adsorbent for the removal of Hg(II) from solution. The adsorption of Hg(II) has been studied in terms of pseudo-first-order and pseudo-second-order kinetics, and the Freundlich, Langmuir and Langmuir–Freundlich isotherm models have also been applied to the equilibrium adsorption data. The adsorption process was spontaneous and endothermic in nature and followed pseudo-second-order kinetic model. A high removal ability of 289.5mg of mercury per gram of Si/Al-PAEA=SA@MnNP was achieved at pH 6.0. The nanoadsorbent showed high reusability due to its high adsorption capacity after 7th adsorption–desorption cycles. The mechanism of interaction of MnNPs with Hg(II) was studied using various analytical techniques such as DR UV–vis, CV and EIS at the surface of multi-walled carbon nanotubes. The results confirm that the surface of MnCl was occupied by Hg(II), that is, suppresses electron transfer rate of the reaction related to Mn(III)/Mn(IV) redox couple. The ease of preparation of the nanomaterial by sol–gel method, high density of reactive sites on the surface and affordable cost will make it possible to use this nanomaterial in field applications, especially for the treatment of Hg(II) from wastewater.","container-title":"Chemical Engineering Journal","DOI":"10.1016/j.cej.2014.07.111","ISSN":"1385-8947","journalAbbreviation":"Chemical Engineering Journal","language":"en","page":"170-182","source":"ScienceDirect","title":"Manganese chloride nanoparticles: A practical adsorbent for the sequestration of Hg(II) ions from aqueous solution","title-short":"Manganese chloride nanoparticles","volume":"259","author":[{"family":"Arshadi","given":"M."}],"issued":{"date-parts":[["2015",1,1]]}}}],"schema":"https://github.com/citation-style-language/schema/raw/master/csl-citation.json"}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[6]</w:t>
            </w:r>
            <w:r w:rsidRPr="00102620">
              <w:rPr>
                <w:rFonts w:ascii="Times New Roman" w:hAnsi="Times New Roman" w:cs="Times New Roman"/>
                <w:color w:val="000000"/>
                <w:sz w:val="18"/>
                <w:szCs w:val="18"/>
              </w:rPr>
              <w:fldChar w:fldCharType="end"/>
            </w:r>
          </w:p>
        </w:tc>
      </w:tr>
      <w:tr w:rsidR="00D53457" w:rsidRPr="00102620" w14:paraId="636A65CF"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247D12FB" w14:textId="18CA105A" w:rsidR="00D53457"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M-DAPS50-COF-SH</w:t>
            </w:r>
          </w:p>
        </w:tc>
        <w:tc>
          <w:tcPr>
            <w:tcW w:w="61" w:type="dxa"/>
            <w:tcBorders>
              <w:top w:val="nil"/>
              <w:left w:val="nil"/>
              <w:bottom w:val="nil"/>
              <w:right w:val="nil"/>
            </w:tcBorders>
            <w:noWrap/>
            <w:tcMar>
              <w:top w:w="12" w:type="dxa"/>
              <w:left w:w="12" w:type="dxa"/>
              <w:right w:w="12" w:type="dxa"/>
            </w:tcMar>
            <w:vAlign w:val="center"/>
          </w:tcPr>
          <w:p w14:paraId="6D4DDCC1" w14:textId="77777777" w:rsidR="00D53457" w:rsidRPr="00102620" w:rsidRDefault="00D53457" w:rsidP="00152D4E">
            <w:pPr>
              <w:widowControl/>
              <w:textAlignment w:val="center"/>
              <w:rPr>
                <w:rFonts w:ascii="Times New Roman" w:hAnsi="Times New Roman" w:cs="Times New Roman"/>
                <w:color w:val="000000"/>
                <w:kern w:val="0"/>
                <w:sz w:val="22"/>
                <w:lang w:bidi="ar"/>
              </w:rPr>
            </w:pPr>
          </w:p>
        </w:tc>
        <w:tc>
          <w:tcPr>
            <w:tcW w:w="1925" w:type="dxa"/>
            <w:tcBorders>
              <w:top w:val="nil"/>
              <w:left w:val="nil"/>
              <w:bottom w:val="nil"/>
              <w:right w:val="nil"/>
            </w:tcBorders>
            <w:noWrap/>
            <w:tcMar>
              <w:top w:w="12" w:type="dxa"/>
              <w:left w:w="12" w:type="dxa"/>
              <w:right w:w="12" w:type="dxa"/>
            </w:tcMar>
            <w:vAlign w:val="center"/>
          </w:tcPr>
          <w:p w14:paraId="5F1AD372" w14:textId="6D10EBF8" w:rsidR="00D53457"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383</w:t>
            </w:r>
          </w:p>
        </w:tc>
        <w:tc>
          <w:tcPr>
            <w:tcW w:w="2196" w:type="dxa"/>
            <w:tcBorders>
              <w:top w:val="nil"/>
              <w:left w:val="nil"/>
              <w:bottom w:val="nil"/>
              <w:right w:val="nil"/>
            </w:tcBorders>
            <w:noWrap/>
            <w:tcMar>
              <w:top w:w="12" w:type="dxa"/>
              <w:left w:w="12" w:type="dxa"/>
              <w:right w:w="12" w:type="dxa"/>
            </w:tcMar>
            <w:vAlign w:val="center"/>
          </w:tcPr>
          <w:p w14:paraId="232E95A8" w14:textId="6BD14840" w:rsidR="00D53457" w:rsidRPr="00102620" w:rsidRDefault="00B72CFA"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0.0</w:t>
            </w:r>
            <w:r w:rsidR="002C760B" w:rsidRPr="00102620">
              <w:rPr>
                <w:rFonts w:ascii="Times New Roman" w:hAnsi="Times New Roman" w:cs="Times New Roman"/>
                <w:color w:val="000000"/>
                <w:kern w:val="0"/>
                <w:sz w:val="18"/>
                <w:szCs w:val="18"/>
                <w:lang w:bidi="ar"/>
              </w:rPr>
              <w:t>05</w:t>
            </w:r>
            <w:r w:rsidRPr="00102620">
              <w:rPr>
                <w:rFonts w:ascii="Times New Roman" w:hAnsi="Times New Roman" w:cs="Times New Roman"/>
                <w:color w:val="000000"/>
                <w:kern w:val="0"/>
                <w:sz w:val="18"/>
                <w:szCs w:val="18"/>
                <w:lang w:bidi="ar"/>
              </w:rPr>
              <w:t>g/10mL</w:t>
            </w:r>
          </w:p>
        </w:tc>
        <w:tc>
          <w:tcPr>
            <w:tcW w:w="22" w:type="dxa"/>
            <w:tcBorders>
              <w:top w:val="nil"/>
              <w:left w:val="nil"/>
              <w:bottom w:val="nil"/>
              <w:right w:val="nil"/>
            </w:tcBorders>
          </w:tcPr>
          <w:p w14:paraId="47A233C9" w14:textId="77777777" w:rsidR="00D53457" w:rsidRPr="00102620" w:rsidRDefault="00D53457" w:rsidP="00152D4E">
            <w:pPr>
              <w:widowControl/>
              <w:jc w:val="left"/>
              <w:textAlignment w:val="center"/>
              <w:rPr>
                <w:rFonts w:ascii="Times New Roman" w:hAnsi="Times New Roman" w:cs="Times New Roman"/>
                <w:color w:val="000000"/>
                <w:kern w:val="0"/>
                <w:sz w:val="22"/>
                <w:lang w:bidi="ar"/>
              </w:rPr>
            </w:pPr>
          </w:p>
        </w:tc>
        <w:tc>
          <w:tcPr>
            <w:tcW w:w="1589" w:type="dxa"/>
            <w:tcBorders>
              <w:top w:val="nil"/>
              <w:left w:val="nil"/>
              <w:bottom w:val="nil"/>
              <w:right w:val="nil"/>
            </w:tcBorders>
            <w:noWrap/>
            <w:tcMar>
              <w:top w:w="12" w:type="dxa"/>
              <w:left w:w="12" w:type="dxa"/>
              <w:right w:w="12" w:type="dxa"/>
            </w:tcMar>
            <w:vAlign w:val="center"/>
          </w:tcPr>
          <w:p w14:paraId="34A97140" w14:textId="6ECF9B9E" w:rsidR="00D53457" w:rsidRPr="00102620" w:rsidRDefault="005B43A1"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fldChar w:fldCharType="begin"/>
            </w:r>
            <w:r w:rsidR="00D079D3" w:rsidRPr="00102620">
              <w:rPr>
                <w:rFonts w:ascii="Times New Roman" w:hAnsi="Times New Roman" w:cs="Times New Roman"/>
                <w:color w:val="000000"/>
                <w:kern w:val="0"/>
                <w:sz w:val="18"/>
                <w:szCs w:val="18"/>
                <w:lang w:bidi="ar"/>
              </w:rPr>
              <w:instrText xml:space="preserve"> ADDIN ZOTERO_ITEM CSL_CITATION {"citationID":"sth57qUm","properties":{"formattedCitation":"[7]","plainCitation":"[7]","noteIndex":0},"citationItems":[{"id":218,"uris":["http://zotero.org/users/local/P3i3ISzB/items/WWGTGC44","http://zotero.org/users/10838995/items/WWGTGC44"],"itemData":{"id":218,"type":"article-journal","abstract":"Covalent organic frameworks (COFs) have attracted tremendous attention due to their excellent performance in wastewater remediation, but their practical application still suffers from various challenges. The development of highly-efficient magnetic COFs along with fast adsorption kinetic and high adsorption capacity is very promising. To achieve the purpose, thiol-functionalized magnetic covalent organic frameworks (M-COF-SH) with abundant accessible chelating sites were designed and synthesized by utilizing disulfide derivative as building blocks and subsequently cutting off the disulfide linkage. After the cutting process, the crystallinity, porosity, superparamagnetism of pristine M-COF are well maintained, and the resultant M-COF-SH turned out to be an effective and selective platform for Hg2+ capture from water. Impressively, the resulting composite exhibited a maximum adsorption capacity of Hg2+ as high as 383 mg g−1. In addition, it also displays a rapid kinetic, where the adsorption equilibrium can be achieved within 10 min. More importantly, there is no significant loss of its adsorption performance even after recycling 5 times. This work not only offers a reliable platform for wastewater remediation but also provides a conceptual guide to prepare functionalized M-COF composites which cannot be obtained through conventional approaches.","container-title":"Journal of Hazardous Materials","DOI":"10.1016/j.jhazmat.2020.122320","ISSN":"0304-3894","journalAbbreviation":"Journal of Hazardous Materials","language":"en","page":"122320","source":"ScienceDirect","title":"Thiol-functionalized magnetic covalent organic frameworks by a cutting strategy for efficient removal of Hg2+ from water","volume":"392","author":[{"family":"Huang","given":"Lijin"},{"family":"Shen","given":"Rujia"},{"family":"Liu","given":"Ruiqi"},{"family":"Shuai","given":"Qin"}],"issued":{"date-parts":[["2020",6,15]]}}}],"schema":"https://github.com/citation-style-language/schema/raw/master/csl-citation.json"} </w:instrText>
            </w:r>
            <w:r w:rsidRPr="00102620">
              <w:rPr>
                <w:rFonts w:ascii="Times New Roman" w:hAnsi="Times New Roman" w:cs="Times New Roman"/>
                <w:color w:val="000000"/>
                <w:kern w:val="0"/>
                <w:sz w:val="18"/>
                <w:szCs w:val="18"/>
                <w:lang w:bidi="ar"/>
              </w:rPr>
              <w:fldChar w:fldCharType="separate"/>
            </w:r>
            <w:r w:rsidR="007A7E78" w:rsidRPr="00102620">
              <w:rPr>
                <w:rFonts w:ascii="Times New Roman" w:hAnsi="Times New Roman" w:cs="Times New Roman"/>
                <w:sz w:val="18"/>
              </w:rPr>
              <w:t>[7]</w:t>
            </w:r>
            <w:r w:rsidRPr="00102620">
              <w:rPr>
                <w:rFonts w:ascii="Times New Roman" w:hAnsi="Times New Roman" w:cs="Times New Roman"/>
                <w:color w:val="000000"/>
                <w:kern w:val="0"/>
                <w:sz w:val="18"/>
                <w:szCs w:val="18"/>
                <w:lang w:bidi="ar"/>
              </w:rPr>
              <w:fldChar w:fldCharType="end"/>
            </w:r>
          </w:p>
        </w:tc>
      </w:tr>
      <w:tr w:rsidR="00D53457" w:rsidRPr="00102620" w14:paraId="17D3A265"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03D0B3EF" w14:textId="639C3553" w:rsidR="00D53457" w:rsidRPr="00102620" w:rsidRDefault="00B72CFA"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Sulfonated COF</w:t>
            </w:r>
          </w:p>
        </w:tc>
        <w:tc>
          <w:tcPr>
            <w:tcW w:w="61" w:type="dxa"/>
            <w:tcBorders>
              <w:top w:val="nil"/>
              <w:left w:val="nil"/>
              <w:bottom w:val="nil"/>
              <w:right w:val="nil"/>
            </w:tcBorders>
            <w:noWrap/>
            <w:tcMar>
              <w:top w:w="12" w:type="dxa"/>
              <w:left w:w="12" w:type="dxa"/>
              <w:right w:w="12" w:type="dxa"/>
            </w:tcMar>
            <w:vAlign w:val="center"/>
          </w:tcPr>
          <w:p w14:paraId="7893835B" w14:textId="77777777" w:rsidR="00D53457" w:rsidRPr="00102620" w:rsidRDefault="00D53457" w:rsidP="00152D4E">
            <w:pPr>
              <w:widowControl/>
              <w:textAlignment w:val="center"/>
              <w:rPr>
                <w:rFonts w:ascii="Times New Roman" w:hAnsi="Times New Roman" w:cs="Times New Roman"/>
                <w:color w:val="000000"/>
                <w:kern w:val="0"/>
                <w:sz w:val="22"/>
                <w:lang w:bidi="ar"/>
              </w:rPr>
            </w:pPr>
          </w:p>
        </w:tc>
        <w:tc>
          <w:tcPr>
            <w:tcW w:w="1925" w:type="dxa"/>
            <w:tcBorders>
              <w:top w:val="nil"/>
              <w:left w:val="nil"/>
              <w:bottom w:val="nil"/>
              <w:right w:val="nil"/>
            </w:tcBorders>
            <w:noWrap/>
            <w:tcMar>
              <w:top w:w="12" w:type="dxa"/>
              <w:left w:w="12" w:type="dxa"/>
              <w:right w:w="12" w:type="dxa"/>
            </w:tcMar>
            <w:vAlign w:val="center"/>
          </w:tcPr>
          <w:p w14:paraId="4E23285A" w14:textId="40BFDB6D" w:rsidR="00D53457" w:rsidRPr="00102620" w:rsidRDefault="00B72CFA"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98.42</w:t>
            </w:r>
          </w:p>
        </w:tc>
        <w:tc>
          <w:tcPr>
            <w:tcW w:w="2196" w:type="dxa"/>
            <w:tcBorders>
              <w:top w:val="nil"/>
              <w:left w:val="nil"/>
              <w:bottom w:val="nil"/>
              <w:right w:val="nil"/>
            </w:tcBorders>
            <w:noWrap/>
            <w:tcMar>
              <w:top w:w="12" w:type="dxa"/>
              <w:left w:w="12" w:type="dxa"/>
              <w:right w:w="12" w:type="dxa"/>
            </w:tcMar>
            <w:vAlign w:val="center"/>
          </w:tcPr>
          <w:p w14:paraId="35CFECEC" w14:textId="5B5F14B6" w:rsidR="00D53457" w:rsidRPr="00102620" w:rsidRDefault="00B72CFA"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0.01g/50mL</w:t>
            </w:r>
          </w:p>
        </w:tc>
        <w:tc>
          <w:tcPr>
            <w:tcW w:w="22" w:type="dxa"/>
            <w:tcBorders>
              <w:top w:val="nil"/>
              <w:left w:val="nil"/>
              <w:bottom w:val="nil"/>
              <w:right w:val="nil"/>
            </w:tcBorders>
          </w:tcPr>
          <w:p w14:paraId="775BD672" w14:textId="77777777" w:rsidR="00D53457" w:rsidRPr="00102620" w:rsidRDefault="00D53457" w:rsidP="00152D4E">
            <w:pPr>
              <w:widowControl/>
              <w:jc w:val="left"/>
              <w:textAlignment w:val="center"/>
              <w:rPr>
                <w:rFonts w:ascii="Times New Roman" w:hAnsi="Times New Roman" w:cs="Times New Roman"/>
                <w:color w:val="000000"/>
                <w:kern w:val="0"/>
                <w:sz w:val="22"/>
                <w:lang w:bidi="ar"/>
              </w:rPr>
            </w:pPr>
          </w:p>
        </w:tc>
        <w:tc>
          <w:tcPr>
            <w:tcW w:w="1589" w:type="dxa"/>
            <w:tcBorders>
              <w:top w:val="nil"/>
              <w:left w:val="nil"/>
              <w:bottom w:val="nil"/>
              <w:right w:val="nil"/>
            </w:tcBorders>
            <w:noWrap/>
            <w:tcMar>
              <w:top w:w="12" w:type="dxa"/>
              <w:left w:w="12" w:type="dxa"/>
              <w:right w:w="12" w:type="dxa"/>
            </w:tcMar>
            <w:vAlign w:val="center"/>
          </w:tcPr>
          <w:p w14:paraId="193EC336" w14:textId="5CFD786B" w:rsidR="00D53457" w:rsidRPr="00102620" w:rsidRDefault="005B43A1"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fldChar w:fldCharType="begin"/>
            </w:r>
            <w:r w:rsidR="00D079D3" w:rsidRPr="00102620">
              <w:rPr>
                <w:rFonts w:ascii="Times New Roman" w:hAnsi="Times New Roman" w:cs="Times New Roman"/>
                <w:color w:val="000000"/>
                <w:kern w:val="0"/>
                <w:sz w:val="18"/>
                <w:szCs w:val="18"/>
                <w:lang w:bidi="ar"/>
              </w:rPr>
              <w:instrText xml:space="preserve"> ADDIN ZOTERO_ITEM CSL_CITATION {"citationID":"KcWnTPdZ","properties":{"formattedCitation":"[8]","plainCitation":"[8]","noteIndex":0},"citationItems":[{"id":220,"uris":["http://zotero.org/users/local/P3i3ISzB/items/PVMTWVPY","http://zotero.org/users/10838995/items/PVMTWVPY"],"itemData":{"id":220,"type":"article-journal","abstract":"Designed porous materials, such as covalent organic frameworks (COFs), are promising materials for the removal of toxic metals from wastewater. To assess the contamination and removal of toxic metal ions, their ultrasensitive detection is extremely important. However, to date, there have been very few reports on the ultrasensitive (picomolar) detection of toxic metal ions using highly porous COFs. Therefore, in this study, we synthesized a highly porous and durable COF containing amine and sulfonyl groups using the hydrothermal method. We demonstrated the impressive performance of obtained COF for the selective and ultrasensitive detection of Hg2+. Owing to its excellent luminescence properties and highly p-conjugated system, this metal-free COF can be used as a signal transducer for the selective and sensitive detection of Hg2+ at the picomolar level (640 pM). We studied the influence of various factors (e.g., pH, concentration, and temperature) on the sensitive detection of Hg2+. Owing to excellent luminescence properties and ultrasensitive detection of Hg2+, COF works as highly adsorbent materials for Hg2+ with the effective removal capacity of 99.8% at neutral pH. The obtained COF was also applied as a probe for the simultaneous detection and removal of Hg2+ in a natural river water sample. The results indicate a new path toward metal-free chemical sensors for toxic pollutants.","container-title":"Microporous and Mesoporous Materials","DOI":"10.1016/j.micromeso.2020.110399","ISSN":"1387-1811","journalAbbreviation":"Microporous and Mesoporous Materials","language":"en","page":"110399","source":"ScienceDirect","title":"Highly durable covalent organic framework for the simultaneous ultrasensitive detection and removal of noxious Hg2+","volume":"306","author":[{"family":"Panda","given":"Atanu"},{"family":"Yang","given":"Yanqin"},{"family":"Venkateswarlu","given":"Sada"},{"family":"Son","given":"Younghu"},{"family":"Bae","given":"Tae-Hyun"},{"family":"Yoon","given":"Minyoung"}],"issued":{"date-parts":[["2020",10,15]]}}}],"schema":"https://github.com/citation-style-language/schema/raw/master/csl-citation.json"} </w:instrText>
            </w:r>
            <w:r w:rsidRPr="00102620">
              <w:rPr>
                <w:rFonts w:ascii="Times New Roman" w:hAnsi="Times New Roman" w:cs="Times New Roman"/>
                <w:color w:val="000000"/>
                <w:kern w:val="0"/>
                <w:sz w:val="18"/>
                <w:szCs w:val="18"/>
                <w:lang w:bidi="ar"/>
              </w:rPr>
              <w:fldChar w:fldCharType="separate"/>
            </w:r>
            <w:r w:rsidR="007A7E78" w:rsidRPr="00102620">
              <w:rPr>
                <w:rFonts w:ascii="Times New Roman" w:hAnsi="Times New Roman" w:cs="Times New Roman"/>
                <w:sz w:val="18"/>
              </w:rPr>
              <w:t>[8]</w:t>
            </w:r>
            <w:r w:rsidRPr="00102620">
              <w:rPr>
                <w:rFonts w:ascii="Times New Roman" w:hAnsi="Times New Roman" w:cs="Times New Roman"/>
                <w:color w:val="000000"/>
                <w:kern w:val="0"/>
                <w:sz w:val="18"/>
                <w:szCs w:val="18"/>
                <w:lang w:bidi="ar"/>
              </w:rPr>
              <w:fldChar w:fldCharType="end"/>
            </w:r>
          </w:p>
        </w:tc>
      </w:tr>
      <w:tr w:rsidR="00D53457" w:rsidRPr="00102620" w14:paraId="21FFDCEA" w14:textId="77777777" w:rsidTr="00231609">
        <w:trPr>
          <w:trHeight w:val="304"/>
        </w:trPr>
        <w:tc>
          <w:tcPr>
            <w:tcW w:w="2583" w:type="dxa"/>
            <w:tcBorders>
              <w:top w:val="nil"/>
              <w:left w:val="nil"/>
              <w:bottom w:val="nil"/>
              <w:right w:val="nil"/>
            </w:tcBorders>
            <w:noWrap/>
            <w:tcMar>
              <w:top w:w="12" w:type="dxa"/>
              <w:left w:w="12" w:type="dxa"/>
              <w:right w:w="12" w:type="dxa"/>
            </w:tcMar>
            <w:vAlign w:val="center"/>
          </w:tcPr>
          <w:p w14:paraId="2D09C3E0" w14:textId="6928AE0B" w:rsidR="00D53457" w:rsidRPr="00102620" w:rsidRDefault="00753CBA"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PHTCZ-1-MA</w:t>
            </w:r>
          </w:p>
        </w:tc>
        <w:tc>
          <w:tcPr>
            <w:tcW w:w="61" w:type="dxa"/>
            <w:tcBorders>
              <w:top w:val="nil"/>
              <w:left w:val="nil"/>
              <w:bottom w:val="nil"/>
              <w:right w:val="nil"/>
            </w:tcBorders>
            <w:noWrap/>
            <w:tcMar>
              <w:top w:w="12" w:type="dxa"/>
              <w:left w:w="12" w:type="dxa"/>
              <w:right w:w="12" w:type="dxa"/>
            </w:tcMar>
            <w:vAlign w:val="center"/>
          </w:tcPr>
          <w:p w14:paraId="6AAC3147" w14:textId="77777777" w:rsidR="00D53457" w:rsidRPr="00102620" w:rsidRDefault="00D53457" w:rsidP="00152D4E">
            <w:pPr>
              <w:widowControl/>
              <w:textAlignment w:val="center"/>
              <w:rPr>
                <w:rFonts w:ascii="Times New Roman" w:hAnsi="Times New Roman" w:cs="Times New Roman"/>
                <w:color w:val="000000"/>
                <w:kern w:val="0"/>
                <w:sz w:val="22"/>
                <w:lang w:bidi="ar"/>
              </w:rPr>
            </w:pPr>
          </w:p>
        </w:tc>
        <w:tc>
          <w:tcPr>
            <w:tcW w:w="1925" w:type="dxa"/>
            <w:tcBorders>
              <w:top w:val="nil"/>
              <w:left w:val="nil"/>
              <w:bottom w:val="nil"/>
              <w:right w:val="nil"/>
            </w:tcBorders>
            <w:noWrap/>
            <w:tcMar>
              <w:top w:w="12" w:type="dxa"/>
              <w:left w:w="12" w:type="dxa"/>
              <w:right w:w="12" w:type="dxa"/>
            </w:tcMar>
            <w:vAlign w:val="center"/>
          </w:tcPr>
          <w:p w14:paraId="6AEB66E1" w14:textId="736A9542" w:rsidR="00D53457" w:rsidRPr="00102620" w:rsidRDefault="00753CBA"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416</w:t>
            </w:r>
          </w:p>
        </w:tc>
        <w:tc>
          <w:tcPr>
            <w:tcW w:w="2196" w:type="dxa"/>
            <w:tcBorders>
              <w:top w:val="nil"/>
              <w:left w:val="nil"/>
              <w:bottom w:val="nil"/>
              <w:right w:val="nil"/>
            </w:tcBorders>
            <w:noWrap/>
            <w:tcMar>
              <w:top w:w="12" w:type="dxa"/>
              <w:left w:w="12" w:type="dxa"/>
              <w:right w:w="12" w:type="dxa"/>
            </w:tcMar>
            <w:vAlign w:val="center"/>
          </w:tcPr>
          <w:p w14:paraId="63D6A9C4" w14:textId="36CD3971" w:rsidR="00D53457" w:rsidRPr="00102620" w:rsidRDefault="00047FBD"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0.02g/50mL</w:t>
            </w:r>
          </w:p>
        </w:tc>
        <w:tc>
          <w:tcPr>
            <w:tcW w:w="22" w:type="dxa"/>
            <w:tcBorders>
              <w:top w:val="nil"/>
              <w:left w:val="nil"/>
              <w:bottom w:val="nil"/>
              <w:right w:val="nil"/>
            </w:tcBorders>
          </w:tcPr>
          <w:p w14:paraId="35FF3D14" w14:textId="77777777" w:rsidR="00D53457" w:rsidRPr="00102620" w:rsidRDefault="00D53457" w:rsidP="00152D4E">
            <w:pPr>
              <w:widowControl/>
              <w:jc w:val="left"/>
              <w:textAlignment w:val="center"/>
              <w:rPr>
                <w:rFonts w:ascii="Times New Roman" w:hAnsi="Times New Roman" w:cs="Times New Roman"/>
                <w:color w:val="000000"/>
                <w:kern w:val="0"/>
                <w:sz w:val="22"/>
                <w:lang w:bidi="ar"/>
              </w:rPr>
            </w:pPr>
          </w:p>
        </w:tc>
        <w:tc>
          <w:tcPr>
            <w:tcW w:w="1589" w:type="dxa"/>
            <w:tcBorders>
              <w:top w:val="nil"/>
              <w:left w:val="nil"/>
              <w:bottom w:val="nil"/>
              <w:right w:val="nil"/>
            </w:tcBorders>
            <w:noWrap/>
            <w:tcMar>
              <w:top w:w="12" w:type="dxa"/>
              <w:left w:w="12" w:type="dxa"/>
              <w:right w:w="12" w:type="dxa"/>
            </w:tcMar>
            <w:vAlign w:val="center"/>
          </w:tcPr>
          <w:p w14:paraId="1BD6FEF6" w14:textId="5BB4652B" w:rsidR="00D53457" w:rsidRPr="00102620" w:rsidRDefault="005B43A1"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fldChar w:fldCharType="begin"/>
            </w:r>
            <w:r w:rsidR="00D079D3" w:rsidRPr="00102620">
              <w:rPr>
                <w:rFonts w:ascii="Times New Roman" w:hAnsi="Times New Roman" w:cs="Times New Roman"/>
                <w:color w:val="000000"/>
                <w:kern w:val="0"/>
                <w:sz w:val="18"/>
                <w:szCs w:val="18"/>
                <w:lang w:bidi="ar"/>
              </w:rPr>
              <w:instrText xml:space="preserve"> ADDIN ZOTERO_ITEM CSL_CITATION {"citationID":"EqLd4EXB","properties":{"formattedCitation":"[9]","plainCitation":"[9]","noteIndex":0},"citationItems":[{"id":222,"uris":["http://zotero.org/users/local/P3i3ISzB/items/SI8LXW8Q","http://zotero.org/users/10838995/items/SI8LXW8Q"],"itemData":{"id":222,"type":"article-journal","abstract":"Due to the p-π conjugative effect between the nitrogen atom of the amide and the carbonyl, the amide carbonyl has much low reactivity and the Schiff base reaction between the amide and amine usually did not take place, but after the amide was polymerized, it's quite different. Herein, benzene-1,3,5-triyltris((9H-carbazol-9-yl) methanone) (HTCZ) is not able to have the Schiff base reaction with melamine. Surprisingly, after HTCZ was polymerized according to the Friedel-Crafts reaction, the resultant polymer PHTCZ-1 performed the Schiff base reaction with melamine successfully, and a kind of novel N-rich porous organic polymers, namely, PHTCZ-1-MA was successfully synthesized. Moreover, PHTCZ-1-MA owned much higher Brunauer-Emmett-Teller surface area (613 m2·g−1) and pore volume (0.57 cm3·g−1) with very high nitrogen content (42.39 wt%). The theoretical calculation showed that the positive charge of the carbonyl carbon increased by 18% after the polymerization, which greatly improved the reactivity of the carbonyl. Because of this amazing change, PHTCZ-1-MA was proven to be an excellent adsorbent for CO2 capture (180 mg·g−1 at 273 K and 1.0 bar) and mercury(II) adsorption (335 mg·g−1 at 273 K). This study makes the impossibility possible and provides a unique synthesis strategy for the fabrication of a kind of N-rich porous organic polymers.","container-title":"Journal of Colloid and Interface Science","DOI":"10.1016/j.jcis.2020.12.002","ISSN":"0021-9797","journalAbbreviation":"Journal of Colloid and Interface Science","language":"en","page":"121-130","source":"ScienceDirect","title":"N-rich porous organic polymers based on Schiff base reaction for CO2 capture and mercury(II) adsorption","volume":"587","author":[{"family":"Sang","given":"Yafei"},{"family":"Cao","given":"Yiwen"},{"family":"Wang","given":"Lizhi"},{"family":"Yan","given":"Wei"},{"family":"Chen","given":"Tianwen"},{"family":"Huang","given":"Jianhan"},{"family":"Liu","given":"You-Nian"}],"issued":{"date-parts":[["2021",4,1]]}}}],"schema":"https://github.com/citation-style-language/schema/raw/master/csl-citation.json"} </w:instrText>
            </w:r>
            <w:r w:rsidRPr="00102620">
              <w:rPr>
                <w:rFonts w:ascii="Times New Roman" w:hAnsi="Times New Roman" w:cs="Times New Roman"/>
                <w:color w:val="000000"/>
                <w:kern w:val="0"/>
                <w:sz w:val="18"/>
                <w:szCs w:val="18"/>
                <w:lang w:bidi="ar"/>
              </w:rPr>
              <w:fldChar w:fldCharType="separate"/>
            </w:r>
            <w:r w:rsidR="007A7E78" w:rsidRPr="00102620">
              <w:rPr>
                <w:rFonts w:ascii="Times New Roman" w:hAnsi="Times New Roman" w:cs="Times New Roman"/>
                <w:sz w:val="18"/>
              </w:rPr>
              <w:t>[9]</w:t>
            </w:r>
            <w:r w:rsidRPr="00102620">
              <w:rPr>
                <w:rFonts w:ascii="Times New Roman" w:hAnsi="Times New Roman" w:cs="Times New Roman"/>
                <w:color w:val="000000"/>
                <w:kern w:val="0"/>
                <w:sz w:val="18"/>
                <w:szCs w:val="18"/>
                <w:lang w:bidi="ar"/>
              </w:rPr>
              <w:fldChar w:fldCharType="end"/>
            </w:r>
          </w:p>
        </w:tc>
      </w:tr>
      <w:tr w:rsidR="00D53457" w:rsidRPr="00102620" w14:paraId="3AC6C799" w14:textId="77777777" w:rsidTr="00231609">
        <w:trPr>
          <w:trHeight w:val="304"/>
        </w:trPr>
        <w:tc>
          <w:tcPr>
            <w:tcW w:w="2583" w:type="dxa"/>
            <w:tcBorders>
              <w:top w:val="nil"/>
              <w:left w:val="nil"/>
              <w:bottom w:val="single" w:sz="4" w:space="0" w:color="auto"/>
              <w:right w:val="nil"/>
            </w:tcBorders>
            <w:noWrap/>
            <w:tcMar>
              <w:top w:w="12" w:type="dxa"/>
              <w:left w:w="12" w:type="dxa"/>
              <w:right w:w="12" w:type="dxa"/>
            </w:tcMar>
            <w:vAlign w:val="center"/>
          </w:tcPr>
          <w:p w14:paraId="6FCAC3AA" w14:textId="77777777" w:rsidR="00D53457" w:rsidRPr="00102620" w:rsidRDefault="00D53457"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HTDP-2</w:t>
            </w:r>
          </w:p>
        </w:tc>
        <w:tc>
          <w:tcPr>
            <w:tcW w:w="61" w:type="dxa"/>
            <w:tcBorders>
              <w:top w:val="nil"/>
              <w:left w:val="nil"/>
              <w:bottom w:val="single" w:sz="4" w:space="0" w:color="auto"/>
              <w:right w:val="nil"/>
            </w:tcBorders>
            <w:noWrap/>
            <w:tcMar>
              <w:top w:w="12" w:type="dxa"/>
              <w:left w:w="12" w:type="dxa"/>
              <w:right w:w="12" w:type="dxa"/>
            </w:tcMar>
            <w:vAlign w:val="center"/>
          </w:tcPr>
          <w:p w14:paraId="50C1359C" w14:textId="77777777" w:rsidR="00D53457" w:rsidRPr="00102620" w:rsidRDefault="00D53457" w:rsidP="00152D4E">
            <w:pPr>
              <w:widowControl/>
              <w:textAlignment w:val="center"/>
              <w:rPr>
                <w:rFonts w:ascii="Times New Roman" w:hAnsi="Times New Roman" w:cs="Times New Roman"/>
                <w:color w:val="000000"/>
                <w:kern w:val="0"/>
                <w:sz w:val="22"/>
                <w:lang w:bidi="ar"/>
              </w:rPr>
            </w:pPr>
          </w:p>
        </w:tc>
        <w:tc>
          <w:tcPr>
            <w:tcW w:w="1925" w:type="dxa"/>
            <w:tcBorders>
              <w:top w:val="nil"/>
              <w:left w:val="nil"/>
              <w:bottom w:val="single" w:sz="4" w:space="0" w:color="auto"/>
              <w:right w:val="nil"/>
            </w:tcBorders>
            <w:noWrap/>
            <w:tcMar>
              <w:top w:w="12" w:type="dxa"/>
              <w:left w:w="12" w:type="dxa"/>
              <w:right w:w="12" w:type="dxa"/>
            </w:tcMar>
            <w:vAlign w:val="center"/>
          </w:tcPr>
          <w:p w14:paraId="1F328E65" w14:textId="287F91FC" w:rsidR="00D53457" w:rsidRPr="00102620" w:rsidRDefault="00753CBA"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463.3</w:t>
            </w:r>
          </w:p>
        </w:tc>
        <w:tc>
          <w:tcPr>
            <w:tcW w:w="2196" w:type="dxa"/>
            <w:tcBorders>
              <w:top w:val="nil"/>
              <w:left w:val="nil"/>
              <w:bottom w:val="single" w:sz="4" w:space="0" w:color="auto"/>
              <w:right w:val="nil"/>
            </w:tcBorders>
            <w:noWrap/>
            <w:tcMar>
              <w:top w:w="12" w:type="dxa"/>
              <w:left w:w="12" w:type="dxa"/>
              <w:right w:w="12" w:type="dxa"/>
            </w:tcMar>
            <w:vAlign w:val="center"/>
          </w:tcPr>
          <w:p w14:paraId="718D81AB" w14:textId="489759AD" w:rsidR="00D53457" w:rsidRPr="00102620" w:rsidRDefault="0074103D"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0.01</w:t>
            </w:r>
            <w:r w:rsidR="00753CBA" w:rsidRPr="00102620">
              <w:rPr>
                <w:rFonts w:ascii="Times New Roman" w:hAnsi="Times New Roman" w:cs="Times New Roman"/>
                <w:color w:val="000000"/>
                <w:kern w:val="0"/>
                <w:sz w:val="18"/>
                <w:szCs w:val="18"/>
                <w:lang w:bidi="ar"/>
              </w:rPr>
              <w:t>g/50mL</w:t>
            </w:r>
          </w:p>
        </w:tc>
        <w:tc>
          <w:tcPr>
            <w:tcW w:w="22" w:type="dxa"/>
            <w:tcBorders>
              <w:top w:val="nil"/>
              <w:left w:val="nil"/>
              <w:bottom w:val="single" w:sz="4" w:space="0" w:color="auto"/>
              <w:right w:val="nil"/>
            </w:tcBorders>
          </w:tcPr>
          <w:p w14:paraId="12BFF055" w14:textId="77777777" w:rsidR="00D53457" w:rsidRPr="00102620" w:rsidRDefault="00D53457" w:rsidP="00152D4E">
            <w:pPr>
              <w:widowControl/>
              <w:jc w:val="left"/>
              <w:textAlignment w:val="center"/>
              <w:rPr>
                <w:rFonts w:ascii="Times New Roman" w:hAnsi="Times New Roman" w:cs="Times New Roman"/>
                <w:color w:val="000000"/>
                <w:kern w:val="0"/>
                <w:sz w:val="22"/>
                <w:lang w:bidi="ar"/>
              </w:rPr>
            </w:pPr>
          </w:p>
        </w:tc>
        <w:tc>
          <w:tcPr>
            <w:tcW w:w="1589" w:type="dxa"/>
            <w:tcBorders>
              <w:top w:val="nil"/>
              <w:left w:val="nil"/>
              <w:bottom w:val="single" w:sz="4" w:space="0" w:color="auto"/>
              <w:right w:val="nil"/>
            </w:tcBorders>
            <w:noWrap/>
            <w:tcMar>
              <w:top w:w="12" w:type="dxa"/>
              <w:left w:w="12" w:type="dxa"/>
              <w:right w:w="12" w:type="dxa"/>
            </w:tcMar>
            <w:vAlign w:val="center"/>
          </w:tcPr>
          <w:p w14:paraId="6873BA81" w14:textId="77777777" w:rsidR="00D53457" w:rsidRPr="00102620" w:rsidRDefault="00D53457"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This work</w:t>
            </w:r>
          </w:p>
        </w:tc>
      </w:tr>
    </w:tbl>
    <w:p w14:paraId="5100B83C" w14:textId="550DF6AB" w:rsidR="0067354A" w:rsidRPr="00102620" w:rsidRDefault="0067354A">
      <w:pPr>
        <w:rPr>
          <w:rFonts w:ascii="Times New Roman" w:hAnsi="Times New Roman" w:cs="Times New Roman"/>
        </w:rPr>
      </w:pPr>
    </w:p>
    <w:p w14:paraId="13BCE9A5" w14:textId="515C2B84" w:rsidR="00E034FC" w:rsidRPr="00102620" w:rsidRDefault="00E034FC">
      <w:pPr>
        <w:rPr>
          <w:rFonts w:ascii="Times New Roman" w:hAnsi="Times New Roman" w:cs="Times New Roman"/>
        </w:rPr>
      </w:pPr>
    </w:p>
    <w:p w14:paraId="57FE5938" w14:textId="53B19342" w:rsidR="00E034FC" w:rsidRPr="00102620" w:rsidRDefault="00E034FC">
      <w:pPr>
        <w:rPr>
          <w:rFonts w:ascii="Times New Roman" w:hAnsi="Times New Roman" w:cs="Times New Roman"/>
        </w:rPr>
      </w:pPr>
    </w:p>
    <w:p w14:paraId="5E6B239D" w14:textId="4F4239AB" w:rsidR="00E034FC" w:rsidRPr="00102620" w:rsidRDefault="00E034FC">
      <w:pPr>
        <w:rPr>
          <w:rFonts w:ascii="Times New Roman" w:hAnsi="Times New Roman" w:cs="Times New Roman"/>
        </w:rPr>
      </w:pPr>
    </w:p>
    <w:p w14:paraId="3AAB23B9" w14:textId="52863870" w:rsidR="00E034FC" w:rsidRPr="00102620" w:rsidRDefault="00E034FC">
      <w:pPr>
        <w:rPr>
          <w:rFonts w:ascii="Times New Roman" w:hAnsi="Times New Roman" w:cs="Times New Roman"/>
        </w:rPr>
      </w:pPr>
    </w:p>
    <w:p w14:paraId="022FFE6D" w14:textId="77777777" w:rsidR="00E034FC" w:rsidRPr="00102620" w:rsidRDefault="00E034FC">
      <w:pPr>
        <w:rPr>
          <w:rFonts w:ascii="Times New Roman" w:hAnsi="Times New Roman" w:cs="Times New Roman"/>
        </w:rPr>
      </w:pPr>
    </w:p>
    <w:p w14:paraId="56E64796" w14:textId="77777777" w:rsidR="00E034FC" w:rsidRPr="00102620" w:rsidRDefault="00E034FC" w:rsidP="00E034FC">
      <w:pPr>
        <w:jc w:val="center"/>
        <w:rPr>
          <w:rFonts w:ascii="Times New Roman" w:hAnsi="Times New Roman" w:cs="Times New Roman"/>
        </w:rPr>
      </w:pPr>
      <w:r w:rsidRPr="00102620">
        <w:rPr>
          <w:rFonts w:ascii="Times New Roman" w:hAnsi="Times New Roman" w:cs="Times New Roman"/>
        </w:rPr>
        <w:t>Table S2. Comparison of various fluorescent probes for Hg</w:t>
      </w:r>
      <w:r w:rsidRPr="00102620">
        <w:rPr>
          <w:rFonts w:ascii="Times New Roman" w:hAnsi="Times New Roman" w:cs="Times New Roman"/>
          <w:vertAlign w:val="superscript"/>
        </w:rPr>
        <w:t>2+</w:t>
      </w:r>
      <w:r w:rsidRPr="00102620">
        <w:rPr>
          <w:rFonts w:ascii="Times New Roman" w:hAnsi="Times New Roman" w:cs="Times New Roman"/>
        </w:rPr>
        <w:t xml:space="preserve"> ion detection.</w:t>
      </w:r>
    </w:p>
    <w:p w14:paraId="5D23F552" w14:textId="47873DBB" w:rsidR="00F810F2" w:rsidRPr="00102620" w:rsidRDefault="00F810F2">
      <w:pPr>
        <w:rPr>
          <w:rFonts w:ascii="Times New Roman" w:hAnsi="Times New Roman" w:cs="Times New Roman"/>
        </w:rPr>
      </w:pPr>
    </w:p>
    <w:tbl>
      <w:tblPr>
        <w:tblW w:w="8080" w:type="dxa"/>
        <w:tblLayout w:type="fixed"/>
        <w:tblCellMar>
          <w:left w:w="0" w:type="dxa"/>
          <w:right w:w="0" w:type="dxa"/>
        </w:tblCellMar>
        <w:tblLook w:val="0000" w:firstRow="0" w:lastRow="0" w:firstColumn="0" w:lastColumn="0" w:noHBand="0" w:noVBand="0"/>
      </w:tblPr>
      <w:tblGrid>
        <w:gridCol w:w="1843"/>
        <w:gridCol w:w="44"/>
        <w:gridCol w:w="1374"/>
        <w:gridCol w:w="1417"/>
        <w:gridCol w:w="2102"/>
        <w:gridCol w:w="166"/>
        <w:gridCol w:w="1134"/>
      </w:tblGrid>
      <w:tr w:rsidR="002C760B" w:rsidRPr="00102620" w14:paraId="5DD448D5" w14:textId="77777777" w:rsidTr="00152D4E">
        <w:trPr>
          <w:trHeight w:val="288"/>
        </w:trPr>
        <w:tc>
          <w:tcPr>
            <w:tcW w:w="1843" w:type="dxa"/>
            <w:tcBorders>
              <w:top w:val="single" w:sz="4" w:space="0" w:color="auto"/>
              <w:left w:val="nil"/>
              <w:bottom w:val="single" w:sz="4" w:space="0" w:color="auto"/>
              <w:right w:val="nil"/>
            </w:tcBorders>
            <w:noWrap/>
            <w:tcMar>
              <w:top w:w="12" w:type="dxa"/>
              <w:left w:w="12" w:type="dxa"/>
              <w:right w:w="12" w:type="dxa"/>
            </w:tcMar>
            <w:vAlign w:val="center"/>
          </w:tcPr>
          <w:p w14:paraId="37B0FC73"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Materials</w:t>
            </w:r>
          </w:p>
        </w:tc>
        <w:tc>
          <w:tcPr>
            <w:tcW w:w="44" w:type="dxa"/>
            <w:tcBorders>
              <w:top w:val="single" w:sz="4" w:space="0" w:color="auto"/>
              <w:left w:val="nil"/>
              <w:bottom w:val="single" w:sz="4" w:space="0" w:color="auto"/>
              <w:right w:val="nil"/>
            </w:tcBorders>
            <w:noWrap/>
            <w:tcMar>
              <w:top w:w="12" w:type="dxa"/>
              <w:left w:w="12" w:type="dxa"/>
              <w:right w:w="12" w:type="dxa"/>
            </w:tcMar>
            <w:vAlign w:val="center"/>
          </w:tcPr>
          <w:p w14:paraId="1BD19448" w14:textId="77777777" w:rsidR="002C760B" w:rsidRPr="00102620" w:rsidRDefault="002C760B" w:rsidP="00152D4E">
            <w:pPr>
              <w:widowControl/>
              <w:jc w:val="left"/>
              <w:textAlignment w:val="center"/>
              <w:rPr>
                <w:rFonts w:ascii="Times New Roman" w:hAnsi="Times New Roman" w:cs="Times New Roman"/>
                <w:color w:val="000000"/>
                <w:sz w:val="22"/>
              </w:rPr>
            </w:pPr>
            <w:r w:rsidRPr="00102620">
              <w:rPr>
                <w:rFonts w:ascii="Times New Roman" w:hAnsi="Times New Roman" w:cs="Times New Roman"/>
                <w:color w:val="000000"/>
                <w:kern w:val="0"/>
                <w:sz w:val="22"/>
                <w:lang w:bidi="ar"/>
              </w:rPr>
              <w:t xml:space="preserve">　</w:t>
            </w:r>
          </w:p>
        </w:tc>
        <w:tc>
          <w:tcPr>
            <w:tcW w:w="1374" w:type="dxa"/>
            <w:tcBorders>
              <w:top w:val="single" w:sz="4" w:space="0" w:color="auto"/>
              <w:left w:val="nil"/>
              <w:bottom w:val="single" w:sz="4" w:space="0" w:color="auto"/>
              <w:right w:val="nil"/>
            </w:tcBorders>
            <w:noWrap/>
            <w:tcMar>
              <w:top w:w="12" w:type="dxa"/>
              <w:left w:w="12" w:type="dxa"/>
              <w:right w:w="12" w:type="dxa"/>
            </w:tcMar>
            <w:vAlign w:val="center"/>
          </w:tcPr>
          <w:p w14:paraId="52325317"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LOD (ppm)</w:t>
            </w:r>
          </w:p>
        </w:tc>
        <w:tc>
          <w:tcPr>
            <w:tcW w:w="1417" w:type="dxa"/>
            <w:tcBorders>
              <w:top w:val="single" w:sz="4" w:space="0" w:color="auto"/>
              <w:left w:val="nil"/>
              <w:bottom w:val="single" w:sz="4" w:space="0" w:color="auto"/>
              <w:right w:val="nil"/>
            </w:tcBorders>
            <w:noWrap/>
            <w:tcMar>
              <w:top w:w="12" w:type="dxa"/>
              <w:left w:w="12" w:type="dxa"/>
              <w:right w:w="12" w:type="dxa"/>
            </w:tcMar>
            <w:vAlign w:val="center"/>
          </w:tcPr>
          <w:p w14:paraId="6FAA7763"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Linear range(ppm)</w:t>
            </w:r>
          </w:p>
        </w:tc>
        <w:tc>
          <w:tcPr>
            <w:tcW w:w="2102" w:type="dxa"/>
            <w:tcBorders>
              <w:top w:val="single" w:sz="4" w:space="0" w:color="auto"/>
              <w:left w:val="nil"/>
              <w:bottom w:val="single" w:sz="4" w:space="0" w:color="auto"/>
              <w:right w:val="nil"/>
            </w:tcBorders>
          </w:tcPr>
          <w:p w14:paraId="79B30F97"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Reusability of fluorescence (Times of cycles)</w:t>
            </w:r>
          </w:p>
        </w:tc>
        <w:tc>
          <w:tcPr>
            <w:tcW w:w="166" w:type="dxa"/>
            <w:tcBorders>
              <w:top w:val="single" w:sz="4" w:space="0" w:color="auto"/>
              <w:left w:val="nil"/>
              <w:bottom w:val="single" w:sz="4" w:space="0" w:color="auto"/>
              <w:right w:val="nil"/>
            </w:tcBorders>
          </w:tcPr>
          <w:p w14:paraId="656A1328" w14:textId="77777777" w:rsidR="002C760B" w:rsidRPr="00102620" w:rsidRDefault="002C760B" w:rsidP="00152D4E">
            <w:pPr>
              <w:widowControl/>
              <w:jc w:val="left"/>
              <w:textAlignment w:val="center"/>
              <w:rPr>
                <w:rFonts w:ascii="Times New Roman" w:hAnsi="Times New Roman" w:cs="Times New Roman"/>
                <w:color w:val="000000"/>
                <w:kern w:val="0"/>
                <w:sz w:val="22"/>
                <w:lang w:bidi="ar"/>
              </w:rPr>
            </w:pPr>
          </w:p>
        </w:tc>
        <w:tc>
          <w:tcPr>
            <w:tcW w:w="1134" w:type="dxa"/>
            <w:tcBorders>
              <w:top w:val="single" w:sz="4" w:space="0" w:color="auto"/>
              <w:left w:val="nil"/>
              <w:bottom w:val="single" w:sz="4" w:space="0" w:color="auto"/>
              <w:right w:val="nil"/>
            </w:tcBorders>
            <w:noWrap/>
            <w:tcMar>
              <w:top w:w="12" w:type="dxa"/>
              <w:left w:w="12" w:type="dxa"/>
              <w:right w:w="12" w:type="dxa"/>
            </w:tcMar>
            <w:vAlign w:val="center"/>
          </w:tcPr>
          <w:p w14:paraId="316DD6C0"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Reference</w:t>
            </w:r>
          </w:p>
        </w:tc>
      </w:tr>
      <w:tr w:rsidR="002C760B" w:rsidRPr="00102620" w14:paraId="158B6265"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33FAFF5A" w14:textId="3A0032BF"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N, S</w:t>
            </w:r>
            <w:r w:rsidR="00A673BA" w:rsidRPr="00102620">
              <w:rPr>
                <w:rFonts w:ascii="Times New Roman" w:hAnsi="Times New Roman" w:cs="Times New Roman"/>
                <w:color w:val="000000"/>
                <w:kern w:val="0"/>
                <w:sz w:val="18"/>
                <w:szCs w:val="18"/>
                <w:lang w:bidi="ar"/>
              </w:rPr>
              <w:t>/C-dots</w:t>
            </w:r>
          </w:p>
        </w:tc>
        <w:tc>
          <w:tcPr>
            <w:tcW w:w="44" w:type="dxa"/>
            <w:tcBorders>
              <w:top w:val="nil"/>
              <w:left w:val="nil"/>
              <w:bottom w:val="nil"/>
              <w:right w:val="nil"/>
            </w:tcBorders>
            <w:noWrap/>
            <w:tcMar>
              <w:top w:w="12" w:type="dxa"/>
              <w:left w:w="12" w:type="dxa"/>
              <w:right w:w="12" w:type="dxa"/>
            </w:tcMar>
            <w:vAlign w:val="center"/>
          </w:tcPr>
          <w:p w14:paraId="3F22EFB8" w14:textId="77777777" w:rsidR="002C760B" w:rsidRPr="00102620" w:rsidRDefault="002C760B" w:rsidP="00152D4E">
            <w:pPr>
              <w:rPr>
                <w:rFonts w:ascii="Times New Roman" w:hAnsi="Times New Roman" w:cs="Times New Roman"/>
                <w:color w:val="000000"/>
                <w:sz w:val="22"/>
              </w:rPr>
            </w:pPr>
          </w:p>
        </w:tc>
        <w:tc>
          <w:tcPr>
            <w:tcW w:w="1374" w:type="dxa"/>
            <w:tcBorders>
              <w:top w:val="nil"/>
              <w:left w:val="nil"/>
              <w:bottom w:val="nil"/>
              <w:right w:val="nil"/>
            </w:tcBorders>
            <w:noWrap/>
            <w:tcMar>
              <w:top w:w="12" w:type="dxa"/>
              <w:left w:w="12" w:type="dxa"/>
              <w:right w:w="12" w:type="dxa"/>
            </w:tcMar>
            <w:vAlign w:val="center"/>
          </w:tcPr>
          <w:p w14:paraId="3A533F62" w14:textId="19FAA1C6" w:rsidR="002C760B" w:rsidRPr="00102620" w:rsidRDefault="00A673BA"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0.4</w:t>
            </w:r>
          </w:p>
        </w:tc>
        <w:tc>
          <w:tcPr>
            <w:tcW w:w="1417" w:type="dxa"/>
            <w:tcBorders>
              <w:top w:val="nil"/>
              <w:left w:val="nil"/>
              <w:bottom w:val="nil"/>
              <w:right w:val="nil"/>
            </w:tcBorders>
            <w:noWrap/>
            <w:tcMar>
              <w:top w:w="12" w:type="dxa"/>
              <w:left w:w="12" w:type="dxa"/>
              <w:right w:w="12" w:type="dxa"/>
            </w:tcMar>
            <w:vAlign w:val="center"/>
          </w:tcPr>
          <w:p w14:paraId="26B36EC4" w14:textId="1B6D796E"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w:t>
            </w:r>
            <w:r w:rsidR="00A673BA" w:rsidRPr="00102620">
              <w:rPr>
                <w:rFonts w:ascii="Times New Roman" w:hAnsi="Times New Roman" w:cs="Times New Roman"/>
                <w:color w:val="000000"/>
                <w:kern w:val="0"/>
                <w:sz w:val="18"/>
                <w:szCs w:val="18"/>
                <w:lang w:bidi="ar"/>
              </w:rPr>
              <w:t>8</w:t>
            </w:r>
          </w:p>
        </w:tc>
        <w:tc>
          <w:tcPr>
            <w:tcW w:w="2102" w:type="dxa"/>
            <w:tcBorders>
              <w:top w:val="nil"/>
              <w:left w:val="nil"/>
              <w:bottom w:val="nil"/>
              <w:right w:val="nil"/>
            </w:tcBorders>
          </w:tcPr>
          <w:p w14:paraId="4CAD18B7"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w:t>
            </w:r>
          </w:p>
        </w:tc>
        <w:tc>
          <w:tcPr>
            <w:tcW w:w="166" w:type="dxa"/>
            <w:tcBorders>
              <w:top w:val="nil"/>
              <w:left w:val="nil"/>
              <w:bottom w:val="nil"/>
              <w:right w:val="nil"/>
            </w:tcBorders>
          </w:tcPr>
          <w:p w14:paraId="2799F135" w14:textId="77777777" w:rsidR="002C760B" w:rsidRPr="00102620" w:rsidRDefault="002C760B" w:rsidP="00152D4E">
            <w:pPr>
              <w:rPr>
                <w:rFonts w:ascii="Times New Roman" w:hAnsi="Times New Roman" w:cs="Times New Roman"/>
                <w:color w:val="000000"/>
                <w:sz w:val="22"/>
              </w:rPr>
            </w:pPr>
          </w:p>
        </w:tc>
        <w:tc>
          <w:tcPr>
            <w:tcW w:w="1134" w:type="dxa"/>
            <w:tcBorders>
              <w:top w:val="nil"/>
              <w:left w:val="nil"/>
              <w:bottom w:val="nil"/>
              <w:right w:val="nil"/>
            </w:tcBorders>
            <w:noWrap/>
            <w:tcMar>
              <w:top w:w="12" w:type="dxa"/>
              <w:left w:w="12" w:type="dxa"/>
              <w:right w:w="12" w:type="dxa"/>
            </w:tcMar>
            <w:vAlign w:val="center"/>
          </w:tcPr>
          <w:p w14:paraId="57C75818" w14:textId="6CA4C63B" w:rsidR="002C760B" w:rsidRPr="00102620" w:rsidRDefault="007B5985"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3EIKihDu","properties":{"formattedCitation":"[10]","plainCitation":"[10]","noteIndex":0},"citationItems":[{"id":236,"uris":["http://zotero.org/users/local/P3i3ISzB/items/EL4YP7SV","http://zotero.org/users/10838995/items/EL4YP7SV"],"itemData":{"id":236,"type":"article-journal","abstract":"Nitrogen and sulfur co-doped carbon dots (N,S/C-dots) with high fluorescence quantum yields (FLQY, 25%) was successfully synthesized by a one-step microwave-assisted method. In comparison with nitrogen doped C-dots (N/C-dots) prepared using the same method, the resulting N,S/C-dots featured small particle size, uniform surface state, insensitive FL properties to excitation wavelengths and environmental conditions, negligible cytotoxicity and excellent biocompatibility. Simultaneous doping of N and S effectively promoted electron-transfer and coordination interaction between N,S/C-dots and Hg2+. Thus, when used as fluorescence probe for Hg2+ label-free detection, the resulting N,S/C-dots showed good detection sensitivity and ion selectivity. The limit of detection was 2μM; among 15 metal ions investigated, only Fe3+ showed interference to the Hg2+ detection. Fortunately, this interference could be effectively shielded using a chelating agent sodium hexametaphoshpate. The applicability of N,S/C-dots as fluorescence probe for Hg2+ detection in lake water and tap water was demonstrated. Finally, based on its favorable features of negligible cytotoxicity and excellent biocompatibility, the N,S/C-dots were successfully applied to probe Hg2+ in living cells, which broaden its application in biological system.","container-title":"Biosensors and Bioelectronics","DOI":"10.1016/j.bios.2015.06.050","ISSN":"0956-5663","journalAbbreviation":"Biosensors and Bioelectronics","language":"en","page":"263-269","source":"ScienceDirect","title":"Nitrogen and sulfur co-doped carbon dots for highly selective and sensitive detection of Hg (Ⅱ) ions","volume":"74","author":[{"family":"Li","given":"Libo"},{"family":"Yu","given":"Bin"},{"family":"You","given":"Tianyan"}],"issued":{"date-parts":[["2015",12,15]]}}}],"schema":"https://github.com/citation-style-language/schema/raw/master/csl-citation.json"}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[10]</w:t>
            </w:r>
            <w:r w:rsidRPr="00102620">
              <w:rPr>
                <w:rFonts w:ascii="Times New Roman" w:hAnsi="Times New Roman" w:cs="Times New Roman"/>
                <w:color w:val="000000"/>
                <w:sz w:val="18"/>
                <w:szCs w:val="18"/>
              </w:rPr>
              <w:fldChar w:fldCharType="end"/>
            </w:r>
          </w:p>
        </w:tc>
      </w:tr>
      <w:tr w:rsidR="002C760B" w:rsidRPr="00102620" w14:paraId="0811024A"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1F4A6FB8"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TNPP</w:t>
            </w:r>
          </w:p>
        </w:tc>
        <w:tc>
          <w:tcPr>
            <w:tcW w:w="44" w:type="dxa"/>
            <w:tcBorders>
              <w:top w:val="nil"/>
              <w:left w:val="nil"/>
              <w:bottom w:val="nil"/>
              <w:right w:val="nil"/>
            </w:tcBorders>
            <w:noWrap/>
            <w:tcMar>
              <w:top w:w="12" w:type="dxa"/>
              <w:left w:w="12" w:type="dxa"/>
              <w:right w:w="12" w:type="dxa"/>
            </w:tcMar>
            <w:vAlign w:val="center"/>
          </w:tcPr>
          <w:p w14:paraId="05ACB413" w14:textId="77777777" w:rsidR="002C760B" w:rsidRPr="00102620" w:rsidRDefault="002C760B" w:rsidP="00152D4E">
            <w:pPr>
              <w:rPr>
                <w:rFonts w:ascii="Times New Roman" w:hAnsi="Times New Roman" w:cs="Times New Roman"/>
                <w:color w:val="000000"/>
                <w:sz w:val="22"/>
              </w:rPr>
            </w:pPr>
          </w:p>
        </w:tc>
        <w:tc>
          <w:tcPr>
            <w:tcW w:w="1374" w:type="dxa"/>
            <w:tcBorders>
              <w:top w:val="nil"/>
              <w:left w:val="nil"/>
              <w:bottom w:val="nil"/>
              <w:right w:val="nil"/>
            </w:tcBorders>
            <w:noWrap/>
            <w:tcMar>
              <w:top w:w="12" w:type="dxa"/>
              <w:left w:w="12" w:type="dxa"/>
              <w:right w:w="12" w:type="dxa"/>
            </w:tcMar>
            <w:vAlign w:val="center"/>
          </w:tcPr>
          <w:p w14:paraId="4D84E24B"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2.28×10</w:t>
            </w:r>
            <w:r w:rsidRPr="00102620">
              <w:rPr>
                <w:rFonts w:ascii="Times New Roman" w:hAnsi="Times New Roman" w:cs="Times New Roman"/>
                <w:color w:val="000000"/>
                <w:kern w:val="0"/>
                <w:sz w:val="18"/>
                <w:szCs w:val="18"/>
                <w:vertAlign w:val="superscript"/>
                <w:lang w:bidi="ar"/>
              </w:rPr>
              <w:t>-2</w:t>
            </w:r>
          </w:p>
        </w:tc>
        <w:tc>
          <w:tcPr>
            <w:tcW w:w="1417" w:type="dxa"/>
            <w:tcBorders>
              <w:top w:val="nil"/>
              <w:left w:val="nil"/>
              <w:bottom w:val="nil"/>
              <w:right w:val="nil"/>
            </w:tcBorders>
            <w:noWrap/>
            <w:tcMar>
              <w:top w:w="12" w:type="dxa"/>
              <w:left w:w="12" w:type="dxa"/>
              <w:right w:w="12" w:type="dxa"/>
            </w:tcMar>
            <w:vAlign w:val="center"/>
          </w:tcPr>
          <w:p w14:paraId="7DEA2338"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0-0.9</w:t>
            </w:r>
          </w:p>
        </w:tc>
        <w:tc>
          <w:tcPr>
            <w:tcW w:w="2102" w:type="dxa"/>
            <w:tcBorders>
              <w:top w:val="nil"/>
              <w:left w:val="nil"/>
              <w:bottom w:val="nil"/>
              <w:right w:val="nil"/>
            </w:tcBorders>
          </w:tcPr>
          <w:p w14:paraId="1A562298"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3</w:t>
            </w:r>
          </w:p>
        </w:tc>
        <w:tc>
          <w:tcPr>
            <w:tcW w:w="166" w:type="dxa"/>
            <w:tcBorders>
              <w:top w:val="nil"/>
              <w:left w:val="nil"/>
              <w:bottom w:val="nil"/>
              <w:right w:val="nil"/>
            </w:tcBorders>
          </w:tcPr>
          <w:p w14:paraId="7579CF72" w14:textId="77777777" w:rsidR="002C760B" w:rsidRPr="00102620" w:rsidRDefault="002C760B" w:rsidP="00152D4E">
            <w:pPr>
              <w:rPr>
                <w:rFonts w:ascii="Times New Roman" w:hAnsi="Times New Roman" w:cs="Times New Roman"/>
                <w:color w:val="000000"/>
                <w:sz w:val="22"/>
              </w:rPr>
            </w:pPr>
          </w:p>
        </w:tc>
        <w:tc>
          <w:tcPr>
            <w:tcW w:w="1134" w:type="dxa"/>
            <w:tcBorders>
              <w:top w:val="nil"/>
              <w:left w:val="nil"/>
              <w:bottom w:val="nil"/>
              <w:right w:val="nil"/>
            </w:tcBorders>
            <w:noWrap/>
            <w:tcMar>
              <w:top w:w="12" w:type="dxa"/>
              <w:left w:w="12" w:type="dxa"/>
              <w:right w:w="12" w:type="dxa"/>
            </w:tcMar>
            <w:vAlign w:val="center"/>
          </w:tcPr>
          <w:p w14:paraId="5D184B63" w14:textId="085CD868" w:rsidR="002C760B" w:rsidRPr="00102620" w:rsidRDefault="00B43068"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8Rze3P9p","properties":{"formattedCitation":"[11]","plainCitation":"[11]","noteIndex":0},"citationItems":[{"id":224,"uris":["http://zotero.org/users/local/P3i3ISzB/items/RLUJXIJK","http://zotero.org/users/10838995/items/RLUJXIJK"],"itemData":{"id":224,"type":"article-journal","abstract":"A novel covalent organic framework (COF) polymer has been designed and synthesized by Suzuki polymerization of two monomers based on triarylamine derivatives, and the polymer displays nanosphere morphology due to mini-emulsion reaction system. On the basis of the above polymer, we further fabricated a Schiff base covalent organic framework polymer fluorescent sensor for efficient detection and removal of mercury(II) ions. The material underwent a fluorescence and colour change upon the touching of mercury(II) ions. Thus, taking advantage of the material to detect the presence of mercury(II) ions is quite convenient. Furthermore, the material is capable of efficiently adsorbing mercury(II) ions from aqueous solution. The fluorescence sensing device was successfully fabricated by immobilizing the polymer probe on a macroporous sponge, which was more convenient to detect and remove mercury(II) ions relative to powdery polymer probe.","container-title":"Dyes and Pigments","DOI":"10.1016/j.dyepig.2019.107880","ISSN":"0143-7208","journalAbbreviation":"Dyes and Pigments","language":"en","page":"107880","source":"ScienceDirect","title":"A triarylamine-based fluorescent covalent organic framework for efficient detection and removal of Mercury(II) ion","volume":"173","author":[{"family":"He","given":"Yulong"},{"family":"Wang","given":"Xiaomin"},{"family":"Wang","given":"Kang"},{"family":"Wang","given":"Limin"}],"issued":{"date-parts":[["2020",2,1]]}}}],"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[11]</w:t>
            </w:r>
            <w:r w:rsidRPr="00102620">
              <w:rPr>
                <w:rFonts w:ascii="Times New Roman" w:hAnsi="Times New Roman" w:cs="Times New Roman"/>
                <w:color w:val="000000"/>
                <w:sz w:val="18"/>
                <w:szCs w:val="18"/>
              </w:rPr>
              <w:fldChar w:fldCharType="end"/>
            </w:r>
          </w:p>
        </w:tc>
      </w:tr>
      <w:tr w:rsidR="002C760B" w:rsidRPr="00102620" w14:paraId="0026276B"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0F9184E3"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BATH</w:t>
            </w:r>
            <w:r w:rsidRPr="00102620">
              <w:rPr>
                <w:rFonts w:ascii="Times New Roman" w:hAnsi="Times New Roman" w:cs="Times New Roman"/>
                <w:color w:val="000000"/>
                <w:kern w:val="0"/>
                <w:sz w:val="18"/>
                <w:szCs w:val="18"/>
                <w:vertAlign w:val="subscript"/>
                <w:lang w:bidi="ar"/>
              </w:rPr>
              <w:t>2</w:t>
            </w:r>
            <w:r w:rsidRPr="00102620">
              <w:rPr>
                <w:rFonts w:ascii="Times New Roman" w:hAnsi="Times New Roman" w:cs="Times New Roman"/>
                <w:color w:val="000000"/>
                <w:kern w:val="0"/>
                <w:sz w:val="18"/>
                <w:szCs w:val="18"/>
                <w:lang w:bidi="ar"/>
              </w:rPr>
              <w:t>-Bt</w:t>
            </w:r>
          </w:p>
        </w:tc>
        <w:tc>
          <w:tcPr>
            <w:tcW w:w="44" w:type="dxa"/>
            <w:tcBorders>
              <w:top w:val="nil"/>
              <w:left w:val="nil"/>
              <w:bottom w:val="nil"/>
              <w:right w:val="nil"/>
            </w:tcBorders>
            <w:noWrap/>
            <w:tcMar>
              <w:top w:w="12" w:type="dxa"/>
              <w:left w:w="12" w:type="dxa"/>
              <w:right w:w="12" w:type="dxa"/>
            </w:tcMar>
            <w:vAlign w:val="center"/>
          </w:tcPr>
          <w:p w14:paraId="5CA3AE30" w14:textId="77777777" w:rsidR="002C760B" w:rsidRPr="00102620" w:rsidRDefault="002C760B" w:rsidP="00152D4E">
            <w:pPr>
              <w:rPr>
                <w:rFonts w:ascii="Times New Roman" w:hAnsi="Times New Roman" w:cs="Times New Roman"/>
                <w:color w:val="000000"/>
                <w:sz w:val="22"/>
              </w:rPr>
            </w:pPr>
          </w:p>
        </w:tc>
        <w:tc>
          <w:tcPr>
            <w:tcW w:w="1374" w:type="dxa"/>
            <w:tcBorders>
              <w:top w:val="nil"/>
              <w:left w:val="nil"/>
              <w:bottom w:val="nil"/>
              <w:right w:val="nil"/>
            </w:tcBorders>
            <w:noWrap/>
            <w:tcMar>
              <w:top w:w="12" w:type="dxa"/>
              <w:left w:w="12" w:type="dxa"/>
              <w:right w:w="12" w:type="dxa"/>
            </w:tcMar>
            <w:vAlign w:val="center"/>
          </w:tcPr>
          <w:p w14:paraId="0E5E4A59"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5.2×10</w:t>
            </w:r>
            <w:r w:rsidRPr="00102620">
              <w:rPr>
                <w:rFonts w:ascii="Times New Roman" w:hAnsi="Times New Roman" w:cs="Times New Roman"/>
                <w:color w:val="000000"/>
                <w:kern w:val="0"/>
                <w:sz w:val="18"/>
                <w:szCs w:val="18"/>
                <w:vertAlign w:val="superscript"/>
                <w:lang w:bidi="ar"/>
              </w:rPr>
              <w:t>-3</w:t>
            </w:r>
          </w:p>
        </w:tc>
        <w:tc>
          <w:tcPr>
            <w:tcW w:w="1417" w:type="dxa"/>
            <w:tcBorders>
              <w:top w:val="nil"/>
              <w:left w:val="nil"/>
              <w:bottom w:val="nil"/>
              <w:right w:val="nil"/>
            </w:tcBorders>
            <w:noWrap/>
            <w:tcMar>
              <w:top w:w="12" w:type="dxa"/>
              <w:left w:w="12" w:type="dxa"/>
              <w:right w:w="12" w:type="dxa"/>
            </w:tcMar>
            <w:vAlign w:val="center"/>
          </w:tcPr>
          <w:p w14:paraId="5256E2D1"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0-5.5</w:t>
            </w:r>
          </w:p>
        </w:tc>
        <w:tc>
          <w:tcPr>
            <w:tcW w:w="2102" w:type="dxa"/>
            <w:tcBorders>
              <w:top w:val="nil"/>
              <w:left w:val="nil"/>
              <w:bottom w:val="nil"/>
              <w:right w:val="nil"/>
            </w:tcBorders>
          </w:tcPr>
          <w:p w14:paraId="6A484563"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5</w:t>
            </w:r>
          </w:p>
        </w:tc>
        <w:tc>
          <w:tcPr>
            <w:tcW w:w="166" w:type="dxa"/>
            <w:tcBorders>
              <w:top w:val="nil"/>
              <w:left w:val="nil"/>
              <w:bottom w:val="nil"/>
              <w:right w:val="nil"/>
            </w:tcBorders>
          </w:tcPr>
          <w:p w14:paraId="719AE285" w14:textId="77777777" w:rsidR="002C760B" w:rsidRPr="00102620" w:rsidRDefault="002C760B" w:rsidP="00152D4E">
            <w:pPr>
              <w:rPr>
                <w:rFonts w:ascii="Times New Roman" w:hAnsi="Times New Roman" w:cs="Times New Roman"/>
                <w:color w:val="000000"/>
                <w:sz w:val="22"/>
              </w:rPr>
            </w:pPr>
          </w:p>
        </w:tc>
        <w:tc>
          <w:tcPr>
            <w:tcW w:w="1134" w:type="dxa"/>
            <w:tcBorders>
              <w:top w:val="nil"/>
              <w:left w:val="nil"/>
              <w:bottom w:val="nil"/>
              <w:right w:val="nil"/>
            </w:tcBorders>
            <w:noWrap/>
            <w:tcMar>
              <w:top w:w="12" w:type="dxa"/>
              <w:left w:w="12" w:type="dxa"/>
              <w:right w:w="12" w:type="dxa"/>
            </w:tcMar>
            <w:vAlign w:val="center"/>
          </w:tcPr>
          <w:p w14:paraId="5DF0F64F" w14:textId="0E5DD9BD" w:rsidR="002C760B" w:rsidRPr="00102620" w:rsidRDefault="00CA19B5"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7A7E78" w:rsidRPr="00102620">
              <w:rPr>
                <w:rFonts w:ascii="Times New Roman" w:hAnsi="Times New Roman" w:cs="Times New Roman"/>
                <w:color w:val="000000"/>
                <w:sz w:val="18"/>
                <w:szCs w:val="18"/>
              </w:rPr>
              <w:instrText xml:space="preserve"> ADDIN ZOTERO_ITEM CSL_CITATION {"citationID":"IeBnbeGe","properties":{"formattedCitation":"[12]","plainCitation":"[12]","noteIndex":0},"citationItems":[{"id":"6u0VjvLH/TD0SF4cH","uris":["http://zotero.org/users/local/P3i3ISzB/items/PNTX2JR5"],"itemData":{"id":228,"type":"article-journal","abstract":"The mercury ion Hg2+ is a highly toxic environmental contaminant that threatens both the ecosystem and human health. As such, in recent years, significant effort has been invested in developing novel strategies for ultrasensitive detection of Hg2+. Herein, we leveraged the inherent benefits of covalent organic frameworks (COFs) to design a fluorescent COF with the ability to detect Hg2+, then synthesized a 2,5-bis(allyloxy)terephthalohydrazide functionalized COF material, called BATHz-Bt, for selective Hg2+ recognition. Unlike other methods that rely on sulfur-based ligands, BATHz-Bt is comprised of a π-conjugated framework that serves as the signal transducer; and compact, evenly distributed allyloxy groups that function as the Hg2+ acceptor. In addition to the benefits provided by a stable, COF structure, the material is also re-usable, making it reliable, cost effective, and eco-friendly. Furthermore BATHz-Bt showed good detection performance, as evidenced by its high sensitivity, good selectivity, excellent pH stability, and reusability. Moreover, X-ray photoelectron spectroscopy (XPS) confirmed the presence of a robust and selective interaction between the BATHz-Bt allyloxy groups and Hg2+. Thus, while this study demonstrates the application potential of fluorescent COFs for Hg2+ detection, more importantly, it also provides a new, simple approach to environmental monitoring using functionalized COFs.","container-title":"Materials Today Communications","DOI":"10.1016/j.mtcomm.2021.102440","ISSN":"2352-4928","journalAbbreviation":"Materials Today Communications","language":"en","page":"102440","source":"ScienceDirect","title":"Application of synthesized 2,5-bis(allyloxy)terephthalohydrazide functionalized covalent organic framework material as a fluorescence probe for selective detection of mercury (II)","volume":"27","author":[{"family":"Yin","given":"Yuan"},{"family":"Liu","given":"Gang"}],"issued":{"date-parts":[["2021",6,1]]}}}],"schema":"https://github.com/citation-style-language/schema/raw/master/csl-citation.json"}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[12]</w:t>
            </w:r>
            <w:r w:rsidRPr="00102620">
              <w:rPr>
                <w:rFonts w:ascii="Times New Roman" w:hAnsi="Times New Roman" w:cs="Times New Roman"/>
                <w:color w:val="000000"/>
                <w:sz w:val="18"/>
                <w:szCs w:val="18"/>
              </w:rPr>
              <w:fldChar w:fldCharType="end"/>
            </w:r>
          </w:p>
        </w:tc>
      </w:tr>
      <w:tr w:rsidR="002C760B" w:rsidRPr="00102620" w14:paraId="4B676C00"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52C2EADE" w14:textId="77777777" w:rsidR="002C760B" w:rsidRPr="00102620" w:rsidRDefault="002C760B" w:rsidP="00152D4E">
            <w:pPr>
              <w:widowControl/>
              <w:jc w:val="center"/>
              <w:textAlignment w:val="center"/>
              <w:rPr>
                <w:rFonts w:ascii="Times New Roman" w:hAnsi="Times New Roman" w:cs="Times New Roman"/>
                <w:color w:val="000000"/>
                <w:sz w:val="18"/>
                <w:szCs w:val="18"/>
              </w:rPr>
            </w:pPr>
            <w:proofErr w:type="spellStart"/>
            <w:r w:rsidRPr="00102620">
              <w:rPr>
                <w:rFonts w:ascii="Times New Roman" w:hAnsi="Times New Roman" w:cs="Times New Roman"/>
                <w:color w:val="000000"/>
                <w:kern w:val="0"/>
                <w:sz w:val="18"/>
                <w:szCs w:val="18"/>
                <w:lang w:bidi="ar"/>
              </w:rPr>
              <w:t>TFPPy</w:t>
            </w:r>
            <w:proofErr w:type="spellEnd"/>
            <w:r w:rsidRPr="00102620">
              <w:rPr>
                <w:rFonts w:ascii="Times New Roman" w:hAnsi="Times New Roman" w:cs="Times New Roman"/>
                <w:color w:val="000000"/>
                <w:kern w:val="0"/>
                <w:sz w:val="18"/>
                <w:szCs w:val="18"/>
                <w:lang w:bidi="ar"/>
              </w:rPr>
              <w:t>-CHYD</w:t>
            </w:r>
          </w:p>
        </w:tc>
        <w:tc>
          <w:tcPr>
            <w:tcW w:w="44" w:type="dxa"/>
            <w:tcBorders>
              <w:top w:val="nil"/>
              <w:left w:val="nil"/>
              <w:bottom w:val="nil"/>
              <w:right w:val="nil"/>
            </w:tcBorders>
            <w:noWrap/>
            <w:tcMar>
              <w:top w:w="12" w:type="dxa"/>
              <w:left w:w="12" w:type="dxa"/>
              <w:right w:w="12" w:type="dxa"/>
            </w:tcMar>
            <w:vAlign w:val="center"/>
          </w:tcPr>
          <w:p w14:paraId="1AB92CEE" w14:textId="77777777" w:rsidR="002C760B" w:rsidRPr="00102620" w:rsidRDefault="002C760B" w:rsidP="00152D4E">
            <w:pPr>
              <w:rPr>
                <w:rFonts w:ascii="Times New Roman" w:hAnsi="Times New Roman" w:cs="Times New Roman"/>
                <w:color w:val="000000"/>
                <w:sz w:val="22"/>
              </w:rPr>
            </w:pPr>
          </w:p>
        </w:tc>
        <w:tc>
          <w:tcPr>
            <w:tcW w:w="1374" w:type="dxa"/>
            <w:tcBorders>
              <w:top w:val="nil"/>
              <w:left w:val="nil"/>
              <w:bottom w:val="nil"/>
              <w:right w:val="nil"/>
            </w:tcBorders>
            <w:noWrap/>
            <w:tcMar>
              <w:top w:w="12" w:type="dxa"/>
              <w:left w:w="12" w:type="dxa"/>
              <w:right w:w="12" w:type="dxa"/>
            </w:tcMar>
            <w:vAlign w:val="center"/>
          </w:tcPr>
          <w:p w14:paraId="4CFD6600"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3.4×10</w:t>
            </w:r>
            <w:r w:rsidRPr="00102620">
              <w:rPr>
                <w:rFonts w:ascii="Times New Roman" w:hAnsi="Times New Roman" w:cs="Times New Roman"/>
                <w:color w:val="000000"/>
                <w:kern w:val="0"/>
                <w:sz w:val="18"/>
                <w:szCs w:val="18"/>
                <w:vertAlign w:val="superscript"/>
                <w:lang w:bidi="ar"/>
              </w:rPr>
              <w:t>-3</w:t>
            </w:r>
          </w:p>
        </w:tc>
        <w:tc>
          <w:tcPr>
            <w:tcW w:w="1417" w:type="dxa"/>
            <w:tcBorders>
              <w:top w:val="nil"/>
              <w:left w:val="nil"/>
              <w:bottom w:val="nil"/>
              <w:right w:val="nil"/>
            </w:tcBorders>
            <w:noWrap/>
            <w:tcMar>
              <w:top w:w="12" w:type="dxa"/>
              <w:left w:w="12" w:type="dxa"/>
              <w:right w:w="12" w:type="dxa"/>
            </w:tcMar>
            <w:vAlign w:val="center"/>
          </w:tcPr>
          <w:p w14:paraId="303EE90A"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0-2</w:t>
            </w:r>
          </w:p>
        </w:tc>
        <w:tc>
          <w:tcPr>
            <w:tcW w:w="2102" w:type="dxa"/>
            <w:tcBorders>
              <w:top w:val="nil"/>
              <w:left w:val="nil"/>
              <w:bottom w:val="nil"/>
              <w:right w:val="nil"/>
            </w:tcBorders>
          </w:tcPr>
          <w:p w14:paraId="787EF2B4"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6</w:t>
            </w:r>
          </w:p>
        </w:tc>
        <w:tc>
          <w:tcPr>
            <w:tcW w:w="166" w:type="dxa"/>
            <w:tcBorders>
              <w:top w:val="nil"/>
              <w:left w:val="nil"/>
              <w:bottom w:val="nil"/>
              <w:right w:val="nil"/>
            </w:tcBorders>
          </w:tcPr>
          <w:p w14:paraId="3931EDEF" w14:textId="77777777" w:rsidR="002C760B" w:rsidRPr="00102620" w:rsidRDefault="002C760B" w:rsidP="00152D4E">
            <w:pPr>
              <w:rPr>
                <w:rFonts w:ascii="Times New Roman" w:hAnsi="Times New Roman" w:cs="Times New Roman"/>
                <w:color w:val="000000"/>
                <w:sz w:val="22"/>
              </w:rPr>
            </w:pPr>
          </w:p>
        </w:tc>
        <w:tc>
          <w:tcPr>
            <w:tcW w:w="1134" w:type="dxa"/>
            <w:tcBorders>
              <w:top w:val="nil"/>
              <w:left w:val="nil"/>
              <w:bottom w:val="nil"/>
              <w:right w:val="nil"/>
            </w:tcBorders>
            <w:noWrap/>
            <w:tcMar>
              <w:top w:w="12" w:type="dxa"/>
              <w:left w:w="12" w:type="dxa"/>
              <w:right w:w="12" w:type="dxa"/>
            </w:tcMar>
            <w:vAlign w:val="center"/>
          </w:tcPr>
          <w:p w14:paraId="4B81BE1E" w14:textId="075EA184" w:rsidR="002C760B" w:rsidRPr="00102620" w:rsidRDefault="00CA19B5"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6xZcYbL1","properties":{"formattedCitation":"[13]","plainCitation":"[13]","noteIndex":0},"citationItems":[{"id":302,"uris":["http://zotero.org/users/local/P3i3ISzB/items/G56SKCYQ","http://zotero.org/users/10838995/items/G56SKCYQ"],"itemData":{"id":302,"type":"article-journal","abstract":"Mercury is one of the most toxic elements in the environment. Recently, a number of covalent organic frameworks (COFs) were developed for simultaneous detection and removal of mercury. They rely on post-synthetically modified sulfur-based ligands for irreversible mercury binding. In addition, their rigid structures resulted in low fluorescence yields. Herein, a novel highly luminescent COF named TFPPy-CHYD with a quantum yield of 13.6% was designed by integrating a pyrene-based building block with a flexible carbohydrazide linker. The nitrogen-based ligand allows reversible and highly selective binding of Hg2+. As a sensing platform, it has an ultralow detection limit of 17 nM mercury. More importantly, TFPPy-CHYD exhibits excellent performance in removing mercury from both air and water, providing very high Hg-0 and Hg2+ adsorption capacities of 232 and 758 mg g(-1), respectively. This work demonstrates enormous potential of luminescent COF for metal detection and remediation. By rational introducing metal ligands, a suite of new COF materials might be synthesized for the detection and removal of other metal ions.","container-title":"ACS Sustainable Chemistry &amp; Engineering","DOI":"10.1021/acssuschemeng.9b05725","ISSN":"2168-0485","issue":"1","language":"English","page":"445-451","title":"Regenerable Carbohydrazide-Linked Fluorescent Covalent Organic Frameworks for Ultrasensitive Detection and Removal of Mercury","volume":"8","author":[{"family":"Cui","given":"W. R."},{"family":"Jiang","given":"W."},{"family":"Zhang","given":"C. R."},{"family":"Liang","given":"R. P."},{"family":"Liu","given":"J. W."},{"family":"Qiu","given":"J. D."}],"issued":{"date-parts":[["2020",1,13]]}}}],"schema":"https://github.com/citation-style-language/schema/raw/master/csl-citation.json"}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[13]</w:t>
            </w:r>
            <w:r w:rsidRPr="00102620">
              <w:rPr>
                <w:rFonts w:ascii="Times New Roman" w:hAnsi="Times New Roman" w:cs="Times New Roman"/>
                <w:color w:val="000000"/>
                <w:sz w:val="18"/>
                <w:szCs w:val="18"/>
              </w:rPr>
              <w:fldChar w:fldCharType="end"/>
            </w:r>
          </w:p>
        </w:tc>
      </w:tr>
      <w:tr w:rsidR="002C760B" w:rsidRPr="00102620" w14:paraId="438D8ADF"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59A71371"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COP-108-S</w:t>
            </w:r>
          </w:p>
        </w:tc>
        <w:tc>
          <w:tcPr>
            <w:tcW w:w="44" w:type="dxa"/>
            <w:tcBorders>
              <w:top w:val="nil"/>
              <w:left w:val="nil"/>
              <w:bottom w:val="nil"/>
              <w:right w:val="nil"/>
            </w:tcBorders>
            <w:noWrap/>
            <w:tcMar>
              <w:top w:w="12" w:type="dxa"/>
              <w:left w:w="12" w:type="dxa"/>
              <w:right w:w="12" w:type="dxa"/>
            </w:tcMar>
            <w:vAlign w:val="center"/>
          </w:tcPr>
          <w:p w14:paraId="79A1AEEA" w14:textId="77777777" w:rsidR="002C760B" w:rsidRPr="00102620" w:rsidRDefault="002C760B" w:rsidP="00152D4E">
            <w:pPr>
              <w:rPr>
                <w:rFonts w:ascii="Times New Roman" w:hAnsi="Times New Roman" w:cs="Times New Roman"/>
                <w:color w:val="000000"/>
                <w:sz w:val="22"/>
              </w:rPr>
            </w:pPr>
          </w:p>
        </w:tc>
        <w:tc>
          <w:tcPr>
            <w:tcW w:w="1374" w:type="dxa"/>
            <w:tcBorders>
              <w:top w:val="nil"/>
              <w:left w:val="nil"/>
              <w:bottom w:val="nil"/>
              <w:right w:val="nil"/>
            </w:tcBorders>
            <w:noWrap/>
            <w:tcMar>
              <w:top w:w="12" w:type="dxa"/>
              <w:left w:w="12" w:type="dxa"/>
              <w:right w:w="12" w:type="dxa"/>
            </w:tcMar>
            <w:vAlign w:val="center"/>
          </w:tcPr>
          <w:p w14:paraId="4AC0312E"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2.89×10</w:t>
            </w:r>
            <w:r w:rsidRPr="00102620">
              <w:rPr>
                <w:rFonts w:ascii="Times New Roman" w:hAnsi="Times New Roman" w:cs="Times New Roman"/>
                <w:color w:val="000000"/>
                <w:kern w:val="0"/>
                <w:sz w:val="18"/>
                <w:szCs w:val="18"/>
                <w:vertAlign w:val="superscript"/>
                <w:lang w:bidi="ar"/>
              </w:rPr>
              <w:t>-3</w:t>
            </w:r>
          </w:p>
        </w:tc>
        <w:tc>
          <w:tcPr>
            <w:tcW w:w="1417" w:type="dxa"/>
            <w:tcBorders>
              <w:top w:val="nil"/>
              <w:left w:val="nil"/>
              <w:bottom w:val="nil"/>
              <w:right w:val="nil"/>
            </w:tcBorders>
            <w:noWrap/>
            <w:tcMar>
              <w:top w:w="12" w:type="dxa"/>
              <w:left w:w="12" w:type="dxa"/>
              <w:right w:w="12" w:type="dxa"/>
            </w:tcMar>
            <w:vAlign w:val="center"/>
          </w:tcPr>
          <w:p w14:paraId="4A2B9A63"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0-2006</w:t>
            </w:r>
          </w:p>
        </w:tc>
        <w:tc>
          <w:tcPr>
            <w:tcW w:w="2102" w:type="dxa"/>
            <w:tcBorders>
              <w:top w:val="nil"/>
              <w:left w:val="nil"/>
              <w:bottom w:val="nil"/>
              <w:right w:val="nil"/>
            </w:tcBorders>
          </w:tcPr>
          <w:p w14:paraId="05CE984B"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5</w:t>
            </w:r>
          </w:p>
        </w:tc>
        <w:tc>
          <w:tcPr>
            <w:tcW w:w="166" w:type="dxa"/>
            <w:tcBorders>
              <w:top w:val="nil"/>
              <w:left w:val="nil"/>
              <w:bottom w:val="nil"/>
              <w:right w:val="nil"/>
            </w:tcBorders>
          </w:tcPr>
          <w:p w14:paraId="61B51DEE" w14:textId="77777777" w:rsidR="002C760B" w:rsidRPr="00102620" w:rsidRDefault="002C760B" w:rsidP="00152D4E">
            <w:pPr>
              <w:rPr>
                <w:rFonts w:ascii="Times New Roman" w:hAnsi="Times New Roman" w:cs="Times New Roman"/>
                <w:color w:val="000000"/>
                <w:sz w:val="22"/>
              </w:rPr>
            </w:pPr>
          </w:p>
        </w:tc>
        <w:tc>
          <w:tcPr>
            <w:tcW w:w="1134" w:type="dxa"/>
            <w:tcBorders>
              <w:top w:val="nil"/>
              <w:left w:val="nil"/>
              <w:bottom w:val="nil"/>
              <w:right w:val="nil"/>
            </w:tcBorders>
            <w:noWrap/>
            <w:tcMar>
              <w:top w:w="12" w:type="dxa"/>
              <w:left w:w="12" w:type="dxa"/>
              <w:right w:w="12" w:type="dxa"/>
            </w:tcMar>
            <w:vAlign w:val="center"/>
          </w:tcPr>
          <w:p w14:paraId="7C4A2580" w14:textId="0AE58220" w:rsidR="002C760B" w:rsidRPr="00102620" w:rsidRDefault="005B43A1"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XzkCRB9Y","properties":{"formattedCitation":"[4]","plainCitation":"[4]","noteIndex":0},"citationItems":[{"id":214,"uris":["http://zotero.org/users/local/P3i3ISzB/items/TWLWFDU5","http://zotero.org/users/10838995/items/TWLWFDU5"],"itemData":{"id":214,"type":"article-journal","abstract":"As one of the most toxic heavy metals to human beings and the environment, how to simultaneously achieve fluorescence detection and removal of mercury in wastewater is still a challenge and rarely reported. Here, we for the first time synthesize a sulfur-modified covalent organic polymer (COP-108-S) by using facile Ni-catalyzed Yamamoto coupling reactions, and achieve the bifunctional application of COP-108-S for Hg2+ fluorescence detection with a detection limit of 1.44 mM and simultaneous removal with a capacity of 241 mg g−1. On the contrary, the corresponding counterpart (COP-108) without sulfur-modification does not possess the bifunctional property, which means that the sulfur-modification is the key to the bifunctional property of COP-108-S. In addition, COP-108-S also shows good recycle use performance with 99% removal efficiency after five cycles. In short, sulfur-modification may be a useful strategy to develop bifunctional COP materials for simultaneous removal and detection of toxic heavy metal ions.","container-title":"Materials Chemistry Frontiers","DOI":"10.1039/D1QM00130B","ISSN":"2052-1537","issue":"8","journalAbbreviation":"Mater. Chem. Front.","language":"en","note":"publisher: The Royal Society of Chemistry","page":"3428-3435","source":"pubs.rsc.org","title":"Sulfur-modified porous covalent organic polymers as bifunctional materials for efficient fluorescence detection and fast removal of heavy metal ions","volume":"5","author":[{"family":"Li","given":"Jin"},{"family":"Wang","given":"Shitao"},{"family":"Cao","given":"Xiaohua"},{"family":"Huang","given":"Huanan"},{"family":"Cao","given":"Dapeng"}],"issued":{"date-parts":[["2021",4,20]]}}}],"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[4]</w:t>
            </w:r>
            <w:r w:rsidRPr="00102620">
              <w:rPr>
                <w:rFonts w:ascii="Times New Roman" w:hAnsi="Times New Roman" w:cs="Times New Roman"/>
                <w:color w:val="000000"/>
                <w:sz w:val="18"/>
                <w:szCs w:val="18"/>
              </w:rPr>
              <w:fldChar w:fldCharType="end"/>
            </w:r>
          </w:p>
        </w:tc>
      </w:tr>
      <w:tr w:rsidR="002C760B" w:rsidRPr="00102620" w14:paraId="109E35C2"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28157217" w14:textId="77777777" w:rsidR="002C760B" w:rsidRPr="00102620" w:rsidRDefault="002C760B" w:rsidP="00152D4E">
            <w:pPr>
              <w:widowControl/>
              <w:jc w:val="center"/>
              <w:textAlignment w:val="center"/>
              <w:rPr>
                <w:rFonts w:ascii="Times New Roman" w:hAnsi="Times New Roman" w:cs="Times New Roman"/>
                <w:color w:val="000000"/>
                <w:sz w:val="18"/>
                <w:szCs w:val="18"/>
              </w:rPr>
            </w:pPr>
            <w:proofErr w:type="spellStart"/>
            <w:r w:rsidRPr="00102620">
              <w:rPr>
                <w:rFonts w:ascii="Times New Roman" w:hAnsi="Times New Roman" w:cs="Times New Roman"/>
                <w:color w:val="000000"/>
                <w:kern w:val="0"/>
                <w:sz w:val="18"/>
                <w:szCs w:val="18"/>
                <w:lang w:bidi="ar"/>
              </w:rPr>
              <w:t>TpTSC</w:t>
            </w:r>
            <w:proofErr w:type="spellEnd"/>
          </w:p>
        </w:tc>
        <w:tc>
          <w:tcPr>
            <w:tcW w:w="44" w:type="dxa"/>
            <w:tcBorders>
              <w:top w:val="nil"/>
              <w:left w:val="nil"/>
              <w:bottom w:val="nil"/>
              <w:right w:val="nil"/>
            </w:tcBorders>
            <w:noWrap/>
            <w:tcMar>
              <w:top w:w="12" w:type="dxa"/>
              <w:left w:w="12" w:type="dxa"/>
              <w:right w:w="12" w:type="dxa"/>
            </w:tcMar>
            <w:vAlign w:val="center"/>
          </w:tcPr>
          <w:p w14:paraId="59C6B778" w14:textId="77777777" w:rsidR="002C760B" w:rsidRPr="00102620" w:rsidRDefault="002C760B" w:rsidP="00152D4E">
            <w:pPr>
              <w:rPr>
                <w:rFonts w:ascii="Times New Roman" w:hAnsi="Times New Roman" w:cs="Times New Roman"/>
                <w:color w:val="000000"/>
                <w:sz w:val="22"/>
              </w:rPr>
            </w:pPr>
          </w:p>
        </w:tc>
        <w:tc>
          <w:tcPr>
            <w:tcW w:w="1374" w:type="dxa"/>
            <w:tcBorders>
              <w:top w:val="nil"/>
              <w:left w:val="nil"/>
              <w:bottom w:val="nil"/>
              <w:right w:val="nil"/>
            </w:tcBorders>
            <w:noWrap/>
            <w:tcMar>
              <w:top w:w="12" w:type="dxa"/>
              <w:left w:w="12" w:type="dxa"/>
              <w:right w:w="12" w:type="dxa"/>
            </w:tcMar>
            <w:vAlign w:val="center"/>
          </w:tcPr>
          <w:p w14:paraId="37794BA3"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2</w:t>
            </w:r>
          </w:p>
        </w:tc>
        <w:tc>
          <w:tcPr>
            <w:tcW w:w="1417" w:type="dxa"/>
            <w:tcBorders>
              <w:top w:val="nil"/>
              <w:left w:val="nil"/>
              <w:bottom w:val="nil"/>
              <w:right w:val="nil"/>
            </w:tcBorders>
            <w:noWrap/>
            <w:tcMar>
              <w:top w:w="12" w:type="dxa"/>
              <w:left w:w="12" w:type="dxa"/>
              <w:right w:w="12" w:type="dxa"/>
            </w:tcMar>
            <w:vAlign w:val="center"/>
          </w:tcPr>
          <w:p w14:paraId="43578C46"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0-10</w:t>
            </w:r>
          </w:p>
        </w:tc>
        <w:tc>
          <w:tcPr>
            <w:tcW w:w="2102" w:type="dxa"/>
            <w:tcBorders>
              <w:top w:val="nil"/>
              <w:left w:val="nil"/>
              <w:bottom w:val="nil"/>
              <w:right w:val="nil"/>
            </w:tcBorders>
          </w:tcPr>
          <w:p w14:paraId="10AD2E07"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w:t>
            </w:r>
          </w:p>
        </w:tc>
        <w:tc>
          <w:tcPr>
            <w:tcW w:w="166" w:type="dxa"/>
            <w:tcBorders>
              <w:top w:val="nil"/>
              <w:left w:val="nil"/>
              <w:bottom w:val="nil"/>
              <w:right w:val="nil"/>
            </w:tcBorders>
          </w:tcPr>
          <w:p w14:paraId="5ECB78CA" w14:textId="77777777" w:rsidR="002C760B" w:rsidRPr="00102620" w:rsidRDefault="002C760B" w:rsidP="00152D4E">
            <w:pPr>
              <w:rPr>
                <w:rFonts w:ascii="Times New Roman" w:hAnsi="Times New Roman" w:cs="Times New Roman"/>
                <w:color w:val="000000"/>
                <w:sz w:val="22"/>
              </w:rPr>
            </w:pPr>
          </w:p>
        </w:tc>
        <w:tc>
          <w:tcPr>
            <w:tcW w:w="1134" w:type="dxa"/>
            <w:tcBorders>
              <w:top w:val="nil"/>
              <w:left w:val="nil"/>
              <w:bottom w:val="nil"/>
              <w:right w:val="nil"/>
            </w:tcBorders>
            <w:noWrap/>
            <w:tcMar>
              <w:top w:w="12" w:type="dxa"/>
              <w:left w:w="12" w:type="dxa"/>
              <w:right w:w="12" w:type="dxa"/>
            </w:tcMar>
            <w:vAlign w:val="center"/>
          </w:tcPr>
          <w:p w14:paraId="3EE5CAB4" w14:textId="144667C7" w:rsidR="002C760B" w:rsidRPr="00102620" w:rsidRDefault="005B43A1"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ozoclPdl","properties":{"formattedCitation":"[5]","plainCitation":"[5]","noteIndex":0},"citationItems":[{"id":486,"uris":["http://zotero.org/users/local/P3i3ISzB/items/3J6L6W58","http://zotero.org/users/10838995/items/3J6L6W58"],"itemData":{"id":486,"type":"article-journal","abstract":"Hg/Hg(II) is deemed to be the most toxic heavy metal to humans. Therefore, designing suitable adsorbents to simultaneously achieve high capacity, rapid mercury adsorption, and fluorescence detection is still an important challenge in overcoming Hg2+ pollution. Here, we report a flexible alkylamine covalent organic framework (TpTSC), which has been used as an efficient adsorbent and achieves the dual-functional application of TpTSC for Hg2+, with a fluorescence detection limit of 2 ppm and simultaneously a removal capacity of 1035 mg g(-1). It can remove 10 ppm mercury solution to below 2 ppb (drinking water standard) within 10 min, and the removal rate is as high as 99.98%. To a certain extent, it exceeds the recently reported thioether or thiol functionalized adsorbents. The kinetic study shows that TpTSC displays a very high K-d value, with K-d = 1.2 x 10(9) mL g(-1), which has a strong affinity for mercury. In addition, TpTSC displays a good recycling capacity, with a removal rate of over 90% after five cycles. In conclusion, sulfur modification is a useful strategy for developing dual-functional COFs to simultaneously remove and detect toxic heavy metal ions.","container-title":"ACS Applied Polymer Materials","DOI":"10.1021/acsapm.1c01349","ISSN":"2637-6105","issue":"2","language":"English","page":"849-858","title":"Detection and Removal of Mercury Ions in Water by a Covalent Organic Framework Rich in Sulfur and Nitrogen","volume":"4","author":[{"family":"Tang","given":"C. M."},{"family":"Qin","given":"Y. C."},{"family":"Ni","given":"C. L."},{"family":"Zou","given":"J. P."}],"issued":{"date-parts":[["2022",2,11]]}}}],"schema":"https://github.com/citation-style-language/schema/raw/master/csl-citation.json"}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[5]</w:t>
            </w:r>
            <w:r w:rsidRPr="00102620">
              <w:rPr>
                <w:rFonts w:ascii="Times New Roman" w:hAnsi="Times New Roman" w:cs="Times New Roman"/>
                <w:color w:val="000000"/>
                <w:sz w:val="18"/>
                <w:szCs w:val="18"/>
              </w:rPr>
              <w:fldChar w:fldCharType="end"/>
            </w:r>
          </w:p>
        </w:tc>
      </w:tr>
      <w:tr w:rsidR="002C760B" w:rsidRPr="00102620" w14:paraId="3619EF85"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20810934"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COF-LUZ8</w:t>
            </w:r>
          </w:p>
        </w:tc>
        <w:tc>
          <w:tcPr>
            <w:tcW w:w="44" w:type="dxa"/>
            <w:tcBorders>
              <w:top w:val="nil"/>
              <w:left w:val="nil"/>
              <w:bottom w:val="nil"/>
              <w:right w:val="nil"/>
            </w:tcBorders>
            <w:noWrap/>
            <w:tcMar>
              <w:top w:w="12" w:type="dxa"/>
              <w:left w:w="12" w:type="dxa"/>
              <w:right w:w="12" w:type="dxa"/>
            </w:tcMar>
            <w:vAlign w:val="center"/>
          </w:tcPr>
          <w:p w14:paraId="114ACC70" w14:textId="77777777" w:rsidR="002C760B" w:rsidRPr="00102620" w:rsidRDefault="002C760B" w:rsidP="00152D4E">
            <w:pPr>
              <w:rPr>
                <w:rFonts w:ascii="Times New Roman" w:hAnsi="Times New Roman" w:cs="Times New Roman"/>
                <w:color w:val="000000"/>
                <w:sz w:val="22"/>
              </w:rPr>
            </w:pPr>
          </w:p>
        </w:tc>
        <w:tc>
          <w:tcPr>
            <w:tcW w:w="1374" w:type="dxa"/>
            <w:tcBorders>
              <w:top w:val="nil"/>
              <w:left w:val="nil"/>
              <w:bottom w:val="nil"/>
              <w:right w:val="nil"/>
            </w:tcBorders>
            <w:noWrap/>
            <w:tcMar>
              <w:top w:w="12" w:type="dxa"/>
              <w:left w:w="12" w:type="dxa"/>
              <w:right w:w="12" w:type="dxa"/>
            </w:tcMar>
            <w:vAlign w:val="center"/>
          </w:tcPr>
          <w:p w14:paraId="7D918F2B"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2.5×10</w:t>
            </w:r>
            <w:r w:rsidRPr="00102620">
              <w:rPr>
                <w:rFonts w:ascii="Times New Roman" w:hAnsi="Times New Roman" w:cs="Times New Roman"/>
                <w:color w:val="000000"/>
                <w:kern w:val="0"/>
                <w:sz w:val="18"/>
                <w:szCs w:val="18"/>
                <w:vertAlign w:val="superscript"/>
                <w:lang w:bidi="ar"/>
              </w:rPr>
              <w:t>-2</w:t>
            </w:r>
          </w:p>
        </w:tc>
        <w:tc>
          <w:tcPr>
            <w:tcW w:w="1417" w:type="dxa"/>
            <w:tcBorders>
              <w:top w:val="nil"/>
              <w:left w:val="nil"/>
              <w:bottom w:val="nil"/>
              <w:right w:val="nil"/>
            </w:tcBorders>
            <w:noWrap/>
            <w:tcMar>
              <w:top w:w="12" w:type="dxa"/>
              <w:left w:w="12" w:type="dxa"/>
              <w:right w:w="12" w:type="dxa"/>
            </w:tcMar>
            <w:vAlign w:val="center"/>
          </w:tcPr>
          <w:p w14:paraId="542E6473"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0-6680</w:t>
            </w:r>
          </w:p>
        </w:tc>
        <w:tc>
          <w:tcPr>
            <w:tcW w:w="2102" w:type="dxa"/>
            <w:tcBorders>
              <w:top w:val="nil"/>
              <w:left w:val="nil"/>
              <w:bottom w:val="nil"/>
              <w:right w:val="nil"/>
            </w:tcBorders>
          </w:tcPr>
          <w:p w14:paraId="12D06520" w14:textId="77777777" w:rsidR="002C760B" w:rsidRPr="00102620" w:rsidRDefault="002C760B"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3</w:t>
            </w:r>
          </w:p>
        </w:tc>
        <w:tc>
          <w:tcPr>
            <w:tcW w:w="166" w:type="dxa"/>
            <w:tcBorders>
              <w:top w:val="nil"/>
              <w:left w:val="nil"/>
              <w:bottom w:val="nil"/>
              <w:right w:val="nil"/>
            </w:tcBorders>
          </w:tcPr>
          <w:p w14:paraId="5FC42BD4" w14:textId="77777777" w:rsidR="002C760B" w:rsidRPr="00102620" w:rsidRDefault="002C760B" w:rsidP="00152D4E">
            <w:pPr>
              <w:rPr>
                <w:rFonts w:ascii="Times New Roman" w:hAnsi="Times New Roman" w:cs="Times New Roman"/>
                <w:color w:val="000000"/>
                <w:sz w:val="22"/>
              </w:rPr>
            </w:pPr>
          </w:p>
        </w:tc>
        <w:tc>
          <w:tcPr>
            <w:tcW w:w="1134" w:type="dxa"/>
            <w:tcBorders>
              <w:top w:val="nil"/>
              <w:left w:val="nil"/>
              <w:bottom w:val="nil"/>
              <w:right w:val="nil"/>
            </w:tcBorders>
            <w:noWrap/>
            <w:tcMar>
              <w:top w:w="12" w:type="dxa"/>
              <w:left w:w="12" w:type="dxa"/>
              <w:right w:w="12" w:type="dxa"/>
            </w:tcMar>
            <w:vAlign w:val="center"/>
          </w:tcPr>
          <w:p w14:paraId="03D24E7E" w14:textId="77B0CBEA" w:rsidR="002C760B" w:rsidRPr="00102620" w:rsidRDefault="00CA19B5" w:rsidP="00152D4E">
            <w:pPr>
              <w:jc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qf9dtLyO","properties":{"formattedCitation":"[14]","plainCitation":"[14]","noteIndex":0},"citationItems":[{"id":525,"uris":["http://zotero.org/users/local/P3i3ISzB/items/RTA9NNIK","http://zotero.org/users/10838995/items/RTA9NNIK"],"itemData":{"id":525,"type":"article-journal","abstract":"Here, by virtue of the natural merits of covalent organic frameworks (COFs), we report the rational design of a novel reaction-based recyclable fluorescent COF for both sensing and removal applications. The design concept is demonstrated by constructing allyl together with hydroxy groups functionalized COF material, AH-COF, for the exclusive detection and effective removal of mercury (II): the densely and well-distributed allyl cooperated with hydroxy groups as the Hg2+ reaction receptor sites via forming unique mercury-containing product based on the specific mercury-promoted reaction, and the pi-conjugation structure as the signal sensor. The satisfactory detection performance of AH-COF was obtained in aspects of excellent uniqueness, high sensitivity, facile visualization, and real-time response. More fascinatingly, AH-COF can be easily recycled in the presence of NaBH4. Moreover, the effective Hg2+ removal from water and the easy recycling of AH-COF provides the potential prospect for actual applications. Furthermore, the solid-state NMR investigations overwhelmingly certified the privileged reaction between Hg2+ and the allyl in cooperation with hydroxy groups of AH-COF. This study not only shows the use of fluorescent COFs for both exclusive detection and facile removal of Hg2+, but also emphasizes a novel design concept for rational structure construction of functionalized COFs for Hg2+ remediation.","container-title":"Chemical Engineering Journal","DOI":"ARTN 126139 10.1016/j.cej.2020.126139","ISSN":"1385-8947","language":"English","page":"126139","title":"A recyclable fluorescent covalent organic framework for exclusive detection and removal of mercury(II)","volume":"401","author":[{"family":"Yu","given":"Y. X."},{"family":"Li","given":"G. L."},{"family":"Liu","given":"J. H."},{"family":"Yuan","given":"D. Q."}],"issued":{"date-parts":[["2020",12,1]]}}}],"schema":"https://github.com/citation-style-language/schema/raw/master/csl-citation.json"}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[14]</w:t>
            </w:r>
            <w:r w:rsidRPr="00102620">
              <w:rPr>
                <w:rFonts w:ascii="Times New Roman" w:hAnsi="Times New Roman" w:cs="Times New Roman"/>
                <w:color w:val="000000"/>
                <w:sz w:val="18"/>
                <w:szCs w:val="18"/>
              </w:rPr>
              <w:fldChar w:fldCharType="end"/>
            </w:r>
          </w:p>
        </w:tc>
      </w:tr>
      <w:tr w:rsidR="002C760B" w:rsidRPr="00102620" w14:paraId="48C4E226"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1C06A08E"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AH-COF</w:t>
            </w:r>
          </w:p>
        </w:tc>
        <w:tc>
          <w:tcPr>
            <w:tcW w:w="44" w:type="dxa"/>
            <w:tcBorders>
              <w:top w:val="nil"/>
              <w:left w:val="nil"/>
              <w:bottom w:val="nil"/>
              <w:right w:val="nil"/>
            </w:tcBorders>
            <w:noWrap/>
            <w:tcMar>
              <w:top w:w="12" w:type="dxa"/>
              <w:left w:w="12" w:type="dxa"/>
              <w:right w:w="12" w:type="dxa"/>
            </w:tcMar>
            <w:vAlign w:val="center"/>
          </w:tcPr>
          <w:p w14:paraId="454A15E4" w14:textId="77777777" w:rsidR="002C760B" w:rsidRPr="00102620" w:rsidRDefault="002C760B" w:rsidP="00152D4E">
            <w:pPr>
              <w:widowControl/>
              <w:jc w:val="center"/>
              <w:textAlignment w:val="center"/>
              <w:rPr>
                <w:rFonts w:ascii="Times New Roman" w:hAnsi="Times New Roman" w:cs="Times New Roman"/>
                <w:color w:val="000000"/>
                <w:sz w:val="22"/>
              </w:rPr>
            </w:pPr>
            <w:r w:rsidRPr="00102620">
              <w:rPr>
                <w:rFonts w:ascii="Times New Roman" w:hAnsi="Times New Roman" w:cs="Times New Roman"/>
                <w:color w:val="000000"/>
                <w:kern w:val="0"/>
                <w:sz w:val="22"/>
                <w:lang w:bidi="ar"/>
              </w:rPr>
              <w:t xml:space="preserve">　</w:t>
            </w:r>
          </w:p>
        </w:tc>
        <w:tc>
          <w:tcPr>
            <w:tcW w:w="1374" w:type="dxa"/>
            <w:tcBorders>
              <w:top w:val="nil"/>
              <w:left w:val="nil"/>
              <w:bottom w:val="nil"/>
              <w:right w:val="nil"/>
            </w:tcBorders>
            <w:noWrap/>
            <w:tcMar>
              <w:top w:w="12" w:type="dxa"/>
              <w:left w:w="12" w:type="dxa"/>
              <w:right w:w="12" w:type="dxa"/>
            </w:tcMar>
            <w:vAlign w:val="center"/>
          </w:tcPr>
          <w:p w14:paraId="4636AF68"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kern w:val="0"/>
                <w:sz w:val="18"/>
                <w:szCs w:val="18"/>
                <w:lang w:bidi="ar"/>
              </w:rPr>
              <w:t>2×10</w:t>
            </w:r>
            <w:r w:rsidRPr="00102620">
              <w:rPr>
                <w:rFonts w:ascii="Times New Roman" w:hAnsi="Times New Roman" w:cs="Times New Roman"/>
                <w:color w:val="000000"/>
                <w:kern w:val="0"/>
                <w:sz w:val="18"/>
                <w:szCs w:val="18"/>
                <w:vertAlign w:val="superscript"/>
                <w:lang w:bidi="ar"/>
              </w:rPr>
              <w:t>-2</w:t>
            </w:r>
          </w:p>
        </w:tc>
        <w:tc>
          <w:tcPr>
            <w:tcW w:w="1417" w:type="dxa"/>
            <w:tcBorders>
              <w:top w:val="nil"/>
              <w:left w:val="nil"/>
              <w:bottom w:val="nil"/>
              <w:right w:val="nil"/>
            </w:tcBorders>
            <w:noWrap/>
            <w:tcMar>
              <w:top w:w="12" w:type="dxa"/>
              <w:left w:w="12" w:type="dxa"/>
              <w:right w:w="12" w:type="dxa"/>
            </w:tcMar>
            <w:vAlign w:val="center"/>
          </w:tcPr>
          <w:p w14:paraId="3AF411FB" w14:textId="77777777" w:rsidR="002C760B" w:rsidRPr="00102620" w:rsidRDefault="002C760B"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t>0-8</w:t>
            </w:r>
          </w:p>
        </w:tc>
        <w:tc>
          <w:tcPr>
            <w:tcW w:w="2102" w:type="dxa"/>
            <w:tcBorders>
              <w:top w:val="nil"/>
              <w:left w:val="nil"/>
              <w:bottom w:val="nil"/>
              <w:right w:val="nil"/>
            </w:tcBorders>
          </w:tcPr>
          <w:p w14:paraId="4062A4EC"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4</w:t>
            </w:r>
          </w:p>
        </w:tc>
        <w:tc>
          <w:tcPr>
            <w:tcW w:w="166" w:type="dxa"/>
            <w:tcBorders>
              <w:top w:val="nil"/>
              <w:left w:val="nil"/>
              <w:bottom w:val="nil"/>
              <w:right w:val="nil"/>
            </w:tcBorders>
          </w:tcPr>
          <w:p w14:paraId="235DCA4D" w14:textId="77777777" w:rsidR="002C760B" w:rsidRPr="00102620" w:rsidRDefault="002C760B" w:rsidP="00152D4E">
            <w:pPr>
              <w:widowControl/>
              <w:jc w:val="left"/>
              <w:textAlignment w:val="center"/>
              <w:rPr>
                <w:rFonts w:ascii="Times New Roman" w:hAnsi="Times New Roman" w:cs="Times New Roman"/>
                <w:color w:val="000000"/>
                <w:kern w:val="0"/>
                <w:sz w:val="22"/>
                <w:lang w:bidi="ar"/>
              </w:rPr>
            </w:pPr>
          </w:p>
        </w:tc>
        <w:tc>
          <w:tcPr>
            <w:tcW w:w="1134" w:type="dxa"/>
            <w:tcBorders>
              <w:top w:val="nil"/>
              <w:left w:val="nil"/>
              <w:bottom w:val="nil"/>
              <w:right w:val="nil"/>
            </w:tcBorders>
            <w:noWrap/>
            <w:tcMar>
              <w:top w:w="12" w:type="dxa"/>
              <w:left w:w="12" w:type="dxa"/>
              <w:right w:w="12" w:type="dxa"/>
            </w:tcMar>
            <w:vAlign w:val="center"/>
          </w:tcPr>
          <w:p w14:paraId="6026BA45" w14:textId="7CF23F33" w:rsidR="002C760B" w:rsidRPr="00102620" w:rsidRDefault="007B5985" w:rsidP="00152D4E">
            <w:pPr>
              <w:widowControl/>
              <w:jc w:val="center"/>
              <w:textAlignment w:val="center"/>
              <w:rPr>
                <w:rFonts w:ascii="Times New Roman" w:hAnsi="Times New Roman" w:cs="Times New Roman"/>
                <w:color w:val="000000"/>
                <w:sz w:val="18"/>
                <w:szCs w:val="18"/>
              </w:rPr>
            </w:pPr>
            <w:r w:rsidRPr="00102620">
              <w:rPr>
                <w:rFonts w:ascii="Times New Roman" w:hAnsi="Times New Roman" w:cs="Times New Roman"/>
                <w:color w:val="000000"/>
                <w:sz w:val="18"/>
                <w:szCs w:val="18"/>
              </w:rPr>
              <w:fldChar w:fldCharType="begin"/>
            </w:r>
            <w:r w:rsidR="00D079D3" w:rsidRPr="00102620">
              <w:rPr>
                <w:rFonts w:ascii="Times New Roman" w:hAnsi="Times New Roman" w:cs="Times New Roman"/>
                <w:color w:val="000000"/>
                <w:sz w:val="18"/>
                <w:szCs w:val="18"/>
              </w:rPr>
              <w:instrText xml:space="preserve"> ADDIN ZOTERO_ITEM CSL_CITATION {"citationID":"eA7iXgmM","properties":{"formattedCitation":"[15]","plainCitation":"[15]","noteIndex":0},"citationItems":[{"id":327,"uris":["http://zotero.org/users/local/P3i3ISzB/items/4PIMSQTC","http://zotero.org/users/10838995/items/4PIMSQTC"],"itemData":{"id":327,"type":"article-journal","abstract":"Heavy metal ions are highly toxic and widely spread as environmental pollutants. New strategies are being developed to simultaneously detect and remove these toxic ions. Herein, we take the intrinsic advantage of covalent organic frameworks (COFs) and develop fluorescent COFs for sensing applications. As a proof-of-concept, a thioether-functionalized COF material, COF-LZU8, was \"bottom-up\" integrated with multifunctionality for the selective detection and facile removal of mercury(II): the pi-conjugated framework as the signal transducer, the evenly and densely distributed thioether groups as the Hg(2+) receptor, the regular pores facilitating the real-time detection and mass transfer, together with the robust COF structure for recycle use. The excellent sensing performance of COF-LZU8 was achieved in terms of high sensitivity, excellent selectivity, easy visibility, and real-time response. Meanwhile, the efficient removal of Hg(2+) from water and the recycling of COF-LZU8 offers the possibility for practical applications. In addition, X-ray photoelectron spectroscopy and solid-state NMR investigations verified the strong and selective interaction between Hg(2+) and the thioether groups of COF-LZU8. This research not only demonstrates the utilization of fluorescent COFs for both sensing and removal of metal ions but also highlights the facile construction of functionalized COFs for environmental applications.","container-title":"J Am Chem Soc","DOI":"10.1021/jacs.5b10754","ISSN":"1520-5126 (Electronic) 0002-7863 (Linking)","issue":"9","page":"3031-3037","title":"Thioether-Based Fluorescent Covalent Organic Framework for Selective Detection and Facile Removal of Mercury(II)","volume":"138","author":[{"family":"Ding","given":"S. Y."},{"family":"Dong","given":"M."},{"family":"Wang","given":"Y. W."},{"family":"Chen","given":"Y. T."},{"family":"Wang","given":"H. Z."},{"family":"Su","given":"C. Y."},{"family":"Wang","given":"W."}],"issued":{"date-parts":[["2016",3,9]]}}}],"schema":"https://github.com/citation-style-language/schema/raw/master/csl-citation.json"} </w:instrText>
            </w:r>
            <w:r w:rsidRPr="00102620">
              <w:rPr>
                <w:rFonts w:ascii="Times New Roman" w:hAnsi="Times New Roman" w:cs="Times New Roman"/>
                <w:color w:val="000000"/>
                <w:sz w:val="18"/>
                <w:szCs w:val="18"/>
              </w:rPr>
              <w:fldChar w:fldCharType="separate"/>
            </w:r>
            <w:r w:rsidR="007A7E78" w:rsidRPr="00102620">
              <w:rPr>
                <w:rFonts w:ascii="Times New Roman" w:hAnsi="Times New Roman" w:cs="Times New Roman"/>
                <w:sz w:val="18"/>
              </w:rPr>
              <w:t>[15]</w:t>
            </w:r>
            <w:r w:rsidRPr="00102620">
              <w:rPr>
                <w:rFonts w:ascii="Times New Roman" w:hAnsi="Times New Roman" w:cs="Times New Roman"/>
                <w:color w:val="000000"/>
                <w:sz w:val="18"/>
                <w:szCs w:val="18"/>
              </w:rPr>
              <w:fldChar w:fldCharType="end"/>
            </w:r>
          </w:p>
        </w:tc>
      </w:tr>
      <w:tr w:rsidR="002C760B" w:rsidRPr="00102620" w14:paraId="40376A07"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4424BA06"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HPP-SH</w:t>
            </w:r>
          </w:p>
        </w:tc>
        <w:tc>
          <w:tcPr>
            <w:tcW w:w="44" w:type="dxa"/>
            <w:tcBorders>
              <w:top w:val="nil"/>
              <w:left w:val="nil"/>
              <w:bottom w:val="nil"/>
              <w:right w:val="nil"/>
            </w:tcBorders>
            <w:noWrap/>
            <w:tcMar>
              <w:top w:w="12" w:type="dxa"/>
              <w:left w:w="12" w:type="dxa"/>
              <w:right w:w="12" w:type="dxa"/>
            </w:tcMar>
            <w:vAlign w:val="center"/>
          </w:tcPr>
          <w:p w14:paraId="50015970" w14:textId="77777777" w:rsidR="002C760B" w:rsidRPr="00102620" w:rsidRDefault="002C760B" w:rsidP="00152D4E">
            <w:pPr>
              <w:widowControl/>
              <w:textAlignment w:val="center"/>
              <w:rPr>
                <w:rFonts w:ascii="Times New Roman" w:hAnsi="Times New Roman" w:cs="Times New Roman"/>
                <w:color w:val="000000"/>
                <w:kern w:val="0"/>
                <w:sz w:val="22"/>
                <w:lang w:bidi="ar"/>
              </w:rPr>
            </w:pPr>
          </w:p>
        </w:tc>
        <w:tc>
          <w:tcPr>
            <w:tcW w:w="1374" w:type="dxa"/>
            <w:tcBorders>
              <w:top w:val="nil"/>
              <w:left w:val="nil"/>
              <w:bottom w:val="nil"/>
              <w:right w:val="nil"/>
            </w:tcBorders>
            <w:noWrap/>
            <w:tcMar>
              <w:top w:w="12" w:type="dxa"/>
              <w:left w:w="12" w:type="dxa"/>
              <w:right w:w="12" w:type="dxa"/>
            </w:tcMar>
            <w:vAlign w:val="center"/>
          </w:tcPr>
          <w:p w14:paraId="5ED0EEAF"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4.48×10</w:t>
            </w:r>
            <w:r w:rsidRPr="00102620">
              <w:rPr>
                <w:rFonts w:ascii="Times New Roman" w:hAnsi="Times New Roman" w:cs="Times New Roman"/>
                <w:color w:val="000000"/>
                <w:kern w:val="0"/>
                <w:sz w:val="18"/>
                <w:szCs w:val="18"/>
                <w:vertAlign w:val="superscript"/>
                <w:lang w:bidi="ar"/>
              </w:rPr>
              <w:t>-3</w:t>
            </w:r>
          </w:p>
        </w:tc>
        <w:tc>
          <w:tcPr>
            <w:tcW w:w="1417" w:type="dxa"/>
            <w:tcBorders>
              <w:top w:val="nil"/>
              <w:left w:val="nil"/>
              <w:bottom w:val="nil"/>
              <w:right w:val="nil"/>
            </w:tcBorders>
            <w:noWrap/>
            <w:tcMar>
              <w:top w:w="12" w:type="dxa"/>
              <w:left w:w="12" w:type="dxa"/>
              <w:right w:w="12" w:type="dxa"/>
            </w:tcMar>
            <w:vAlign w:val="center"/>
          </w:tcPr>
          <w:p w14:paraId="106196FA"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0-100</w:t>
            </w:r>
          </w:p>
        </w:tc>
        <w:tc>
          <w:tcPr>
            <w:tcW w:w="2102" w:type="dxa"/>
            <w:tcBorders>
              <w:top w:val="nil"/>
              <w:left w:val="nil"/>
              <w:bottom w:val="nil"/>
              <w:right w:val="nil"/>
            </w:tcBorders>
          </w:tcPr>
          <w:p w14:paraId="0AE9C1C6"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w:t>
            </w:r>
          </w:p>
        </w:tc>
        <w:tc>
          <w:tcPr>
            <w:tcW w:w="166" w:type="dxa"/>
            <w:tcBorders>
              <w:top w:val="nil"/>
              <w:left w:val="nil"/>
              <w:bottom w:val="nil"/>
              <w:right w:val="nil"/>
            </w:tcBorders>
          </w:tcPr>
          <w:p w14:paraId="44BB914F" w14:textId="77777777" w:rsidR="002C760B" w:rsidRPr="00102620" w:rsidRDefault="002C760B" w:rsidP="00152D4E">
            <w:pPr>
              <w:widowControl/>
              <w:jc w:val="left"/>
              <w:textAlignment w:val="center"/>
              <w:rPr>
                <w:rFonts w:ascii="Times New Roman" w:hAnsi="Times New Roman" w:cs="Times New Roman"/>
                <w:color w:val="000000"/>
                <w:kern w:val="0"/>
                <w:sz w:val="22"/>
                <w:lang w:bidi="ar"/>
              </w:rPr>
            </w:pPr>
          </w:p>
        </w:tc>
        <w:tc>
          <w:tcPr>
            <w:tcW w:w="1134" w:type="dxa"/>
            <w:tcBorders>
              <w:top w:val="nil"/>
              <w:left w:val="nil"/>
              <w:bottom w:val="nil"/>
              <w:right w:val="nil"/>
            </w:tcBorders>
            <w:noWrap/>
            <w:tcMar>
              <w:top w:w="12" w:type="dxa"/>
              <w:left w:w="12" w:type="dxa"/>
              <w:right w:w="12" w:type="dxa"/>
            </w:tcMar>
            <w:vAlign w:val="center"/>
          </w:tcPr>
          <w:p w14:paraId="6AC26F5E" w14:textId="364B141E" w:rsidR="002C760B" w:rsidRPr="00102620" w:rsidRDefault="00B43068"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fldChar w:fldCharType="begin"/>
            </w:r>
            <w:r w:rsidR="00D079D3" w:rsidRPr="00102620">
              <w:rPr>
                <w:rFonts w:ascii="Times New Roman" w:hAnsi="Times New Roman" w:cs="Times New Roman"/>
                <w:color w:val="000000"/>
                <w:kern w:val="0"/>
                <w:sz w:val="18"/>
                <w:szCs w:val="18"/>
                <w:lang w:bidi="ar"/>
              </w:rPr>
              <w:instrText xml:space="preserve"> ADDIN ZOTERO_ITEM CSL_CITATION {"citationID":"zTNII0y8","properties":{"formattedCitation":"[16]","plainCitation":"[16]","noteIndex":0},"citationItems":[{"id":226,"uris":["http://zotero.org/users/local/P3i3ISzB/items/ZZB6UUKN","http://zotero.org/users/10838995/items/ZZB6UUKN"],"itemData":{"id":226,"type":"article-journal","abstract":"Developing dual-function materials that can simultaneously detect and remove mercury ions (Hg2+) is significant because water contamination caused by Hg2+ has greatly threatened environmental and human health. However, it is difficult to achieve efficient dual-function. Herein, we report a highly efficient and selective dual-function material, that is, a sulfur-containing fluorescent hybrid porous polymer (HPP-SH), for the detection and adsorption of Hg2+. HPP-SH was simply prepared by the Heck reaction of octavinylsilsesquioxane and 4,4′-dibromobiphenyl and subsequent post-functionalization by a thiol–ene reaction of 1,2-ethanedithiol with retained vinyl groups in the framework. HPP-SH suspension in water can selectively and efficiently detect Hg2+ ions with a low limit of detection of 4.48 ppb by a fluorescence “turn-off” mode, and capture Hg2+ ions with a maximum adsorption capacity of 900.9 mg g−1 and without the interference of other metal ions. The adsorption process conforms to the pseudo-second-order kinetic and Langmuir model. Moreover, the material can be easily recycled for repeated adsorption of Hg2+ ions. The excellent dual-function performance is better than those of most of the previous Hg2+ sensors or adsorbents. These results reveal that the present material can be utilized as a promising candidate for Hg2+ detection and removal from aqueous solutions. More efficient Hg2+ sensors and/or adsorbents can be conceived and prepared by this simple strategy.","container-title":"Polymer Chemistry","DOI":"10.1039/D2PY00077F","ISSN":"1759-9962","issue":"16","journalAbbreviation":"Polym. Chem.","language":"en","note":"publisher: The Royal Society of Chemistry","page":"2320-2330","source":"pubs.rsc.org","title":"A sulfur-containing fluorescent hybrid porous polymer for selective detection and adsorption of Hg2+ ions","volume":"13","author":[{"family":"Lv","given":"Zhuo"},{"family":"Chen","given":"Zixu"},{"family":"Feng","given":"Shengyu"},{"family":"Wang","given":"Dengxu"},{"family":"Liu","given":"Hongzhi"}],"issued":{"date-parts":[["2022",4,19]]}}}],"schema":"https://github.com/citation-style-language/schema/raw/master/csl-citation.json"} </w:instrText>
            </w:r>
            <w:r w:rsidRPr="00102620">
              <w:rPr>
                <w:rFonts w:ascii="Times New Roman" w:hAnsi="Times New Roman" w:cs="Times New Roman"/>
                <w:color w:val="000000"/>
                <w:kern w:val="0"/>
                <w:sz w:val="18"/>
                <w:szCs w:val="18"/>
                <w:lang w:bidi="ar"/>
              </w:rPr>
              <w:fldChar w:fldCharType="separate"/>
            </w:r>
            <w:r w:rsidR="007A7E78" w:rsidRPr="00102620">
              <w:rPr>
                <w:rFonts w:ascii="Times New Roman" w:hAnsi="Times New Roman" w:cs="Times New Roman"/>
                <w:sz w:val="18"/>
              </w:rPr>
              <w:t>[16]</w:t>
            </w:r>
            <w:r w:rsidRPr="00102620">
              <w:rPr>
                <w:rFonts w:ascii="Times New Roman" w:hAnsi="Times New Roman" w:cs="Times New Roman"/>
                <w:color w:val="000000"/>
                <w:kern w:val="0"/>
                <w:sz w:val="18"/>
                <w:szCs w:val="18"/>
                <w:lang w:bidi="ar"/>
              </w:rPr>
              <w:fldChar w:fldCharType="end"/>
            </w:r>
          </w:p>
        </w:tc>
      </w:tr>
      <w:tr w:rsidR="002C760B" w:rsidRPr="00102620" w14:paraId="73562135"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28EB5234"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UiO-66-PSM</w:t>
            </w:r>
          </w:p>
        </w:tc>
        <w:tc>
          <w:tcPr>
            <w:tcW w:w="44" w:type="dxa"/>
            <w:tcBorders>
              <w:top w:val="nil"/>
              <w:left w:val="nil"/>
              <w:bottom w:val="nil"/>
              <w:right w:val="nil"/>
            </w:tcBorders>
            <w:noWrap/>
            <w:tcMar>
              <w:top w:w="12" w:type="dxa"/>
              <w:left w:w="12" w:type="dxa"/>
              <w:right w:w="12" w:type="dxa"/>
            </w:tcMar>
            <w:vAlign w:val="center"/>
          </w:tcPr>
          <w:p w14:paraId="66BD6F8D" w14:textId="77777777" w:rsidR="002C760B" w:rsidRPr="00102620" w:rsidRDefault="002C760B" w:rsidP="00152D4E">
            <w:pPr>
              <w:widowControl/>
              <w:textAlignment w:val="center"/>
              <w:rPr>
                <w:rFonts w:ascii="Times New Roman" w:hAnsi="Times New Roman" w:cs="Times New Roman"/>
                <w:color w:val="000000"/>
                <w:kern w:val="0"/>
                <w:sz w:val="22"/>
                <w:lang w:bidi="ar"/>
              </w:rPr>
            </w:pPr>
          </w:p>
        </w:tc>
        <w:tc>
          <w:tcPr>
            <w:tcW w:w="1374" w:type="dxa"/>
            <w:tcBorders>
              <w:top w:val="nil"/>
              <w:left w:val="nil"/>
              <w:bottom w:val="nil"/>
              <w:right w:val="nil"/>
            </w:tcBorders>
            <w:noWrap/>
            <w:tcMar>
              <w:top w:w="12" w:type="dxa"/>
              <w:left w:w="12" w:type="dxa"/>
              <w:right w:w="12" w:type="dxa"/>
            </w:tcMar>
            <w:vAlign w:val="center"/>
          </w:tcPr>
          <w:p w14:paraId="0C6D6C30"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1.18</w:t>
            </w:r>
          </w:p>
        </w:tc>
        <w:tc>
          <w:tcPr>
            <w:tcW w:w="1417" w:type="dxa"/>
            <w:tcBorders>
              <w:top w:val="nil"/>
              <w:left w:val="nil"/>
              <w:bottom w:val="nil"/>
              <w:right w:val="nil"/>
            </w:tcBorders>
            <w:noWrap/>
            <w:tcMar>
              <w:top w:w="12" w:type="dxa"/>
              <w:left w:w="12" w:type="dxa"/>
              <w:right w:w="12" w:type="dxa"/>
            </w:tcMar>
            <w:vAlign w:val="center"/>
          </w:tcPr>
          <w:p w14:paraId="5CDC197E"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0-15.7</w:t>
            </w:r>
          </w:p>
        </w:tc>
        <w:tc>
          <w:tcPr>
            <w:tcW w:w="2102" w:type="dxa"/>
            <w:tcBorders>
              <w:top w:val="nil"/>
              <w:left w:val="nil"/>
              <w:bottom w:val="nil"/>
              <w:right w:val="nil"/>
            </w:tcBorders>
          </w:tcPr>
          <w:p w14:paraId="02CAEF7D"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w:t>
            </w:r>
          </w:p>
        </w:tc>
        <w:tc>
          <w:tcPr>
            <w:tcW w:w="166" w:type="dxa"/>
            <w:tcBorders>
              <w:top w:val="nil"/>
              <w:left w:val="nil"/>
              <w:bottom w:val="nil"/>
              <w:right w:val="nil"/>
            </w:tcBorders>
          </w:tcPr>
          <w:p w14:paraId="3E52336D" w14:textId="77777777" w:rsidR="002C760B" w:rsidRPr="00102620" w:rsidRDefault="002C760B" w:rsidP="00152D4E">
            <w:pPr>
              <w:widowControl/>
              <w:jc w:val="left"/>
              <w:textAlignment w:val="center"/>
              <w:rPr>
                <w:rFonts w:ascii="Times New Roman" w:hAnsi="Times New Roman" w:cs="Times New Roman"/>
                <w:color w:val="000000"/>
                <w:kern w:val="0"/>
                <w:sz w:val="22"/>
                <w:lang w:bidi="ar"/>
              </w:rPr>
            </w:pPr>
          </w:p>
        </w:tc>
        <w:tc>
          <w:tcPr>
            <w:tcW w:w="1134" w:type="dxa"/>
            <w:tcBorders>
              <w:top w:val="nil"/>
              <w:left w:val="nil"/>
              <w:bottom w:val="nil"/>
              <w:right w:val="nil"/>
            </w:tcBorders>
            <w:noWrap/>
            <w:tcMar>
              <w:top w:w="12" w:type="dxa"/>
              <w:left w:w="12" w:type="dxa"/>
              <w:right w:w="12" w:type="dxa"/>
            </w:tcMar>
            <w:vAlign w:val="center"/>
          </w:tcPr>
          <w:p w14:paraId="728BAC19" w14:textId="77633DD7" w:rsidR="002C760B" w:rsidRPr="00102620" w:rsidRDefault="00CA19B5"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fldChar w:fldCharType="begin"/>
            </w:r>
            <w:r w:rsidR="00D079D3" w:rsidRPr="00102620">
              <w:rPr>
                <w:rFonts w:ascii="Times New Roman" w:hAnsi="Times New Roman" w:cs="Times New Roman"/>
                <w:color w:val="000000"/>
                <w:kern w:val="0"/>
                <w:sz w:val="18"/>
                <w:szCs w:val="18"/>
                <w:lang w:bidi="ar"/>
              </w:rPr>
              <w:instrText xml:space="preserve"> ADDIN ZOTERO_ITEM CSL_CITATION {"citationID":"ZrMiS7yT","properties":{"formattedCitation":"[17]","plainCitation":"[17]","noteIndex":0},"citationItems":[{"id":233,"uris":["http://zotero.org/users/local/P3i3ISzB/items/M8H67C99","http://zotero.org/users/10838995/items/M8H67C99"],"itemData":{"id":233,"type":"article-journal","abstract":"A novel metal-organic framework (MOF) fluorescent probe UiO-66-PSM is obtained by the copper-catalyzed azide-alkyne click (CuAAC) reaction of UiO-66-N3 with phenylacetylene. The click-generated triazole unit can act as the metal binding site to coordinate with Hg2+, which exhibits the most pronounced fluorescence response (rapid response, excellent selectivity, and high sensitivity) over other metal ions. Moreover, it is capable of detecting Hg2+ in environmental water samples without any structural disintegration of the framework, indicating its high potential in practical applications.","container-title":"Journal of Solid State Chemistry","DOI":"10.1016/j.jssc.2017.06.008","ISSN":"0022-4596","journalAbbreviation":"Journal of Solid State Chemistry","language":"en","page":"277-281","source":"ScienceDirect","title":"Highly sensitive and selective detection of mercury (II) based on a zirconium metal-organic framework in aqueous media","volume":"253","author":[{"family":"Zhang","given":"Xin"},{"family":"Xia","given":"Tifeng"},{"family":"Jiang","given":"Ke"},{"family":"Cui","given":"Yuanjing"},{"family":"Yang","given":"Yu"},{"family":"Qian","given":"Guodong"}],"issued":{"date-parts":[["2017",9,1]]}}}],"schema":"https://github.com/citation-style-language/schema/raw/master/csl-citation.json"} </w:instrText>
            </w:r>
            <w:r w:rsidRPr="00102620">
              <w:rPr>
                <w:rFonts w:ascii="Times New Roman" w:hAnsi="Times New Roman" w:cs="Times New Roman"/>
                <w:color w:val="000000"/>
                <w:kern w:val="0"/>
                <w:sz w:val="18"/>
                <w:szCs w:val="18"/>
                <w:lang w:bidi="ar"/>
              </w:rPr>
              <w:fldChar w:fldCharType="separate"/>
            </w:r>
            <w:r w:rsidR="007A7E78" w:rsidRPr="00102620">
              <w:rPr>
                <w:rFonts w:ascii="Times New Roman" w:hAnsi="Times New Roman" w:cs="Times New Roman"/>
                <w:sz w:val="18"/>
              </w:rPr>
              <w:t>[17]</w:t>
            </w:r>
            <w:r w:rsidRPr="00102620">
              <w:rPr>
                <w:rFonts w:ascii="Times New Roman" w:hAnsi="Times New Roman" w:cs="Times New Roman"/>
                <w:color w:val="000000"/>
                <w:kern w:val="0"/>
                <w:sz w:val="18"/>
                <w:szCs w:val="18"/>
                <w:lang w:bidi="ar"/>
              </w:rPr>
              <w:fldChar w:fldCharType="end"/>
            </w:r>
          </w:p>
        </w:tc>
      </w:tr>
      <w:tr w:rsidR="002C760B" w:rsidRPr="00102620" w14:paraId="548B90B6" w14:textId="77777777" w:rsidTr="00152D4E">
        <w:trPr>
          <w:trHeight w:val="288"/>
        </w:trPr>
        <w:tc>
          <w:tcPr>
            <w:tcW w:w="1843" w:type="dxa"/>
            <w:tcBorders>
              <w:top w:val="nil"/>
              <w:left w:val="nil"/>
              <w:bottom w:val="nil"/>
              <w:right w:val="nil"/>
            </w:tcBorders>
            <w:noWrap/>
            <w:tcMar>
              <w:top w:w="12" w:type="dxa"/>
              <w:left w:w="12" w:type="dxa"/>
              <w:right w:w="12" w:type="dxa"/>
            </w:tcMar>
            <w:vAlign w:val="center"/>
          </w:tcPr>
          <w:p w14:paraId="4A44DE45"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FS-G</w:t>
            </w:r>
          </w:p>
        </w:tc>
        <w:tc>
          <w:tcPr>
            <w:tcW w:w="44" w:type="dxa"/>
            <w:tcBorders>
              <w:top w:val="nil"/>
              <w:left w:val="nil"/>
              <w:bottom w:val="nil"/>
              <w:right w:val="nil"/>
            </w:tcBorders>
            <w:noWrap/>
            <w:tcMar>
              <w:top w:w="12" w:type="dxa"/>
              <w:left w:w="12" w:type="dxa"/>
              <w:right w:w="12" w:type="dxa"/>
            </w:tcMar>
            <w:vAlign w:val="center"/>
          </w:tcPr>
          <w:p w14:paraId="4F0FEC2F" w14:textId="77777777" w:rsidR="002C760B" w:rsidRPr="00102620" w:rsidRDefault="002C760B" w:rsidP="00152D4E">
            <w:pPr>
              <w:widowControl/>
              <w:textAlignment w:val="center"/>
              <w:rPr>
                <w:rFonts w:ascii="Times New Roman" w:hAnsi="Times New Roman" w:cs="Times New Roman"/>
                <w:color w:val="000000"/>
                <w:kern w:val="0"/>
                <w:sz w:val="22"/>
                <w:lang w:bidi="ar"/>
              </w:rPr>
            </w:pPr>
          </w:p>
        </w:tc>
        <w:tc>
          <w:tcPr>
            <w:tcW w:w="1374" w:type="dxa"/>
            <w:tcBorders>
              <w:top w:val="nil"/>
              <w:left w:val="nil"/>
              <w:bottom w:val="nil"/>
              <w:right w:val="nil"/>
            </w:tcBorders>
            <w:noWrap/>
            <w:tcMar>
              <w:top w:w="12" w:type="dxa"/>
              <w:left w:w="12" w:type="dxa"/>
              <w:right w:w="12" w:type="dxa"/>
            </w:tcMar>
            <w:vAlign w:val="center"/>
          </w:tcPr>
          <w:p w14:paraId="30E4AF3A"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3.34×10</w:t>
            </w:r>
            <w:r w:rsidRPr="00102620">
              <w:rPr>
                <w:rFonts w:ascii="Times New Roman" w:hAnsi="Times New Roman" w:cs="Times New Roman"/>
                <w:color w:val="000000"/>
                <w:kern w:val="0"/>
                <w:sz w:val="18"/>
                <w:szCs w:val="18"/>
                <w:vertAlign w:val="superscript"/>
                <w:lang w:bidi="ar"/>
              </w:rPr>
              <w:t>-2</w:t>
            </w:r>
          </w:p>
        </w:tc>
        <w:tc>
          <w:tcPr>
            <w:tcW w:w="1417" w:type="dxa"/>
            <w:tcBorders>
              <w:top w:val="nil"/>
              <w:left w:val="nil"/>
              <w:bottom w:val="nil"/>
              <w:right w:val="nil"/>
            </w:tcBorders>
            <w:noWrap/>
            <w:tcMar>
              <w:top w:w="12" w:type="dxa"/>
              <w:left w:w="12" w:type="dxa"/>
              <w:right w:w="12" w:type="dxa"/>
            </w:tcMar>
            <w:vAlign w:val="center"/>
          </w:tcPr>
          <w:p w14:paraId="502309FA"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0-12</w:t>
            </w:r>
          </w:p>
        </w:tc>
        <w:tc>
          <w:tcPr>
            <w:tcW w:w="2102" w:type="dxa"/>
            <w:tcBorders>
              <w:top w:val="nil"/>
              <w:left w:val="nil"/>
              <w:bottom w:val="nil"/>
              <w:right w:val="nil"/>
            </w:tcBorders>
          </w:tcPr>
          <w:p w14:paraId="6B42A7B7"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7</w:t>
            </w:r>
          </w:p>
        </w:tc>
        <w:tc>
          <w:tcPr>
            <w:tcW w:w="166" w:type="dxa"/>
            <w:tcBorders>
              <w:top w:val="nil"/>
              <w:left w:val="nil"/>
              <w:bottom w:val="nil"/>
              <w:right w:val="nil"/>
            </w:tcBorders>
          </w:tcPr>
          <w:p w14:paraId="772906E5" w14:textId="77777777" w:rsidR="002C760B" w:rsidRPr="00102620" w:rsidRDefault="002C760B" w:rsidP="00152D4E">
            <w:pPr>
              <w:widowControl/>
              <w:jc w:val="left"/>
              <w:textAlignment w:val="center"/>
              <w:rPr>
                <w:rFonts w:ascii="Times New Roman" w:hAnsi="Times New Roman" w:cs="Times New Roman"/>
                <w:color w:val="000000"/>
                <w:kern w:val="0"/>
                <w:sz w:val="22"/>
                <w:lang w:bidi="ar"/>
              </w:rPr>
            </w:pPr>
          </w:p>
        </w:tc>
        <w:tc>
          <w:tcPr>
            <w:tcW w:w="1134" w:type="dxa"/>
            <w:tcBorders>
              <w:top w:val="nil"/>
              <w:left w:val="nil"/>
              <w:bottom w:val="nil"/>
              <w:right w:val="nil"/>
            </w:tcBorders>
            <w:noWrap/>
            <w:tcMar>
              <w:top w:w="12" w:type="dxa"/>
              <w:left w:w="12" w:type="dxa"/>
              <w:right w:w="12" w:type="dxa"/>
            </w:tcMar>
            <w:vAlign w:val="center"/>
          </w:tcPr>
          <w:p w14:paraId="7BFA8349" w14:textId="3128F7B2" w:rsidR="002C760B" w:rsidRPr="00102620" w:rsidRDefault="007B5985"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fldChar w:fldCharType="begin"/>
            </w:r>
            <w:r w:rsidR="00D079D3" w:rsidRPr="00102620">
              <w:rPr>
                <w:rFonts w:ascii="Times New Roman" w:hAnsi="Times New Roman" w:cs="Times New Roman"/>
                <w:color w:val="000000"/>
                <w:kern w:val="0"/>
                <w:sz w:val="18"/>
                <w:szCs w:val="18"/>
                <w:lang w:bidi="ar"/>
              </w:rPr>
              <w:instrText xml:space="preserve"> ADDIN ZOTERO_ITEM CSL_CITATION {"citationID":"308kOfcH","properties":{"formattedCitation":"[18]","plainCitation":"[18]","noteIndex":0},"citationItems":[{"id":235,"uris":["http://zotero.org/users/local/P3i3ISzB/items/8M28VFZL","http://zotero.org/users/10838995/items/8M28VFZL"],"itemData":{"id":235,"type":"article-journal","abstract":"Based on the thioether-rich crown receptor, we describe a naphthalimide based bifunctional fluorescent sensor (FS-G) for simultaneous detection and separation of trace Hg2+ in water. FS-G exhibited excellent selectivity toward Hg2+ in aqueous environment and showed 5-fold increase in fluorescence emission intensity upon the addition of Hg2+. A good linearity was observed between the fluorescence enhancement and the dose of Hg2+ with a lower detection limit of 33.4ppb. Additionally, adsorption capacity of FS-G is 7.4mgg−1. FS-G can be easily regenerated when treated with dimercaptosuccinic acid. These results indicate that FS-G has potential applications for detection and removal of trace Hg2+ in water.","container-title":"Journal of Colloid and Interface Science","DOI":"10.1016/j.jcis.2016.06.021","ISSN":"0021-9797","journalAbbreviation":"Journal of Colloid and Interface Science","language":"en","page":"7-14","source":"ScienceDirect","title":"A reusable thioether-rich crown-based fluorescent sensor for the detection and removal of mercuric ions","volume":"479","author":[{"family":"Tang","given":"Yao"},{"family":"Liu","given":"Yu"},{"family":"Qin","given":"Yiqiao"},{"family":"Xu","given":"Yufang"},{"family":"Qian","given":"Xuhong"},{"family":"Zhu","given":"Weiping"}],"issued":{"date-parts":[["2016",10,1]]}}}],"schema":"https://github.com/citation-style-language/schema/raw/master/csl-citation.json"} </w:instrText>
            </w:r>
            <w:r w:rsidRPr="00102620">
              <w:rPr>
                <w:rFonts w:ascii="Times New Roman" w:hAnsi="Times New Roman" w:cs="Times New Roman"/>
                <w:color w:val="000000"/>
                <w:kern w:val="0"/>
                <w:sz w:val="18"/>
                <w:szCs w:val="18"/>
                <w:lang w:bidi="ar"/>
              </w:rPr>
              <w:fldChar w:fldCharType="separate"/>
            </w:r>
            <w:r w:rsidR="007A7E78" w:rsidRPr="00102620">
              <w:rPr>
                <w:rFonts w:ascii="Times New Roman" w:hAnsi="Times New Roman" w:cs="Times New Roman"/>
                <w:sz w:val="18"/>
              </w:rPr>
              <w:t>[18]</w:t>
            </w:r>
            <w:r w:rsidRPr="00102620">
              <w:rPr>
                <w:rFonts w:ascii="Times New Roman" w:hAnsi="Times New Roman" w:cs="Times New Roman"/>
                <w:color w:val="000000"/>
                <w:kern w:val="0"/>
                <w:sz w:val="18"/>
                <w:szCs w:val="18"/>
                <w:lang w:bidi="ar"/>
              </w:rPr>
              <w:fldChar w:fldCharType="end"/>
            </w:r>
          </w:p>
        </w:tc>
      </w:tr>
      <w:tr w:rsidR="002C760B" w:rsidRPr="00102620" w14:paraId="5FAC98DE" w14:textId="77777777" w:rsidTr="00152D4E">
        <w:trPr>
          <w:trHeight w:val="288"/>
        </w:trPr>
        <w:tc>
          <w:tcPr>
            <w:tcW w:w="1843" w:type="dxa"/>
            <w:tcBorders>
              <w:top w:val="nil"/>
              <w:left w:val="nil"/>
              <w:bottom w:val="single" w:sz="4" w:space="0" w:color="auto"/>
              <w:right w:val="nil"/>
            </w:tcBorders>
            <w:noWrap/>
            <w:tcMar>
              <w:top w:w="12" w:type="dxa"/>
              <w:left w:w="12" w:type="dxa"/>
              <w:right w:w="12" w:type="dxa"/>
            </w:tcMar>
            <w:vAlign w:val="center"/>
          </w:tcPr>
          <w:p w14:paraId="093B8670"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HTDP-2</w:t>
            </w:r>
          </w:p>
        </w:tc>
        <w:tc>
          <w:tcPr>
            <w:tcW w:w="44" w:type="dxa"/>
            <w:tcBorders>
              <w:top w:val="nil"/>
              <w:left w:val="nil"/>
              <w:bottom w:val="single" w:sz="4" w:space="0" w:color="auto"/>
              <w:right w:val="nil"/>
            </w:tcBorders>
            <w:noWrap/>
            <w:tcMar>
              <w:top w:w="12" w:type="dxa"/>
              <w:left w:w="12" w:type="dxa"/>
              <w:right w:w="12" w:type="dxa"/>
            </w:tcMar>
            <w:vAlign w:val="center"/>
          </w:tcPr>
          <w:p w14:paraId="4BA134E1" w14:textId="77777777" w:rsidR="002C760B" w:rsidRPr="00102620" w:rsidRDefault="002C760B" w:rsidP="00152D4E">
            <w:pPr>
              <w:widowControl/>
              <w:textAlignment w:val="center"/>
              <w:rPr>
                <w:rFonts w:ascii="Times New Roman" w:hAnsi="Times New Roman" w:cs="Times New Roman"/>
                <w:color w:val="000000"/>
                <w:kern w:val="0"/>
                <w:sz w:val="22"/>
                <w:lang w:bidi="ar"/>
              </w:rPr>
            </w:pPr>
          </w:p>
        </w:tc>
        <w:tc>
          <w:tcPr>
            <w:tcW w:w="1374" w:type="dxa"/>
            <w:tcBorders>
              <w:top w:val="nil"/>
              <w:left w:val="nil"/>
              <w:bottom w:val="single" w:sz="4" w:space="0" w:color="auto"/>
              <w:right w:val="nil"/>
            </w:tcBorders>
            <w:noWrap/>
            <w:tcMar>
              <w:top w:w="12" w:type="dxa"/>
              <w:left w:w="12" w:type="dxa"/>
              <w:right w:w="12" w:type="dxa"/>
            </w:tcMar>
            <w:vAlign w:val="center"/>
          </w:tcPr>
          <w:p w14:paraId="02766C71"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0.7</w:t>
            </w:r>
          </w:p>
        </w:tc>
        <w:tc>
          <w:tcPr>
            <w:tcW w:w="1417" w:type="dxa"/>
            <w:tcBorders>
              <w:top w:val="nil"/>
              <w:left w:val="nil"/>
              <w:bottom w:val="single" w:sz="4" w:space="0" w:color="auto"/>
              <w:right w:val="nil"/>
            </w:tcBorders>
            <w:noWrap/>
            <w:tcMar>
              <w:top w:w="12" w:type="dxa"/>
              <w:left w:w="12" w:type="dxa"/>
              <w:right w:w="12" w:type="dxa"/>
            </w:tcMar>
            <w:vAlign w:val="center"/>
          </w:tcPr>
          <w:p w14:paraId="142AD038"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0-150</w:t>
            </w:r>
          </w:p>
        </w:tc>
        <w:tc>
          <w:tcPr>
            <w:tcW w:w="2102" w:type="dxa"/>
            <w:tcBorders>
              <w:top w:val="nil"/>
              <w:left w:val="nil"/>
              <w:bottom w:val="single" w:sz="4" w:space="0" w:color="auto"/>
              <w:right w:val="nil"/>
            </w:tcBorders>
          </w:tcPr>
          <w:p w14:paraId="4982AB6B"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5</w:t>
            </w:r>
          </w:p>
        </w:tc>
        <w:tc>
          <w:tcPr>
            <w:tcW w:w="166" w:type="dxa"/>
            <w:tcBorders>
              <w:top w:val="nil"/>
              <w:left w:val="nil"/>
              <w:bottom w:val="single" w:sz="4" w:space="0" w:color="auto"/>
              <w:right w:val="nil"/>
            </w:tcBorders>
          </w:tcPr>
          <w:p w14:paraId="34F705C2" w14:textId="77777777" w:rsidR="002C760B" w:rsidRPr="00102620" w:rsidRDefault="002C760B" w:rsidP="00152D4E">
            <w:pPr>
              <w:widowControl/>
              <w:jc w:val="left"/>
              <w:textAlignment w:val="center"/>
              <w:rPr>
                <w:rFonts w:ascii="Times New Roman" w:hAnsi="Times New Roman" w:cs="Times New Roman"/>
                <w:color w:val="000000"/>
                <w:kern w:val="0"/>
                <w:sz w:val="22"/>
                <w:lang w:bidi="ar"/>
              </w:rPr>
            </w:pPr>
          </w:p>
        </w:tc>
        <w:tc>
          <w:tcPr>
            <w:tcW w:w="1134" w:type="dxa"/>
            <w:tcBorders>
              <w:top w:val="nil"/>
              <w:left w:val="nil"/>
              <w:bottom w:val="single" w:sz="4" w:space="0" w:color="auto"/>
              <w:right w:val="nil"/>
            </w:tcBorders>
            <w:noWrap/>
            <w:tcMar>
              <w:top w:w="12" w:type="dxa"/>
              <w:left w:w="12" w:type="dxa"/>
              <w:right w:w="12" w:type="dxa"/>
            </w:tcMar>
            <w:vAlign w:val="center"/>
          </w:tcPr>
          <w:p w14:paraId="03A4ADCF" w14:textId="77777777" w:rsidR="002C760B" w:rsidRPr="00102620" w:rsidRDefault="002C760B" w:rsidP="00152D4E">
            <w:pPr>
              <w:widowControl/>
              <w:jc w:val="center"/>
              <w:textAlignment w:val="center"/>
              <w:rPr>
                <w:rFonts w:ascii="Times New Roman" w:hAnsi="Times New Roman" w:cs="Times New Roman"/>
                <w:color w:val="000000"/>
                <w:kern w:val="0"/>
                <w:sz w:val="18"/>
                <w:szCs w:val="18"/>
                <w:lang w:bidi="ar"/>
              </w:rPr>
            </w:pPr>
            <w:r w:rsidRPr="00102620">
              <w:rPr>
                <w:rFonts w:ascii="Times New Roman" w:hAnsi="Times New Roman" w:cs="Times New Roman"/>
                <w:color w:val="000000"/>
                <w:kern w:val="0"/>
                <w:sz w:val="18"/>
                <w:szCs w:val="18"/>
                <w:lang w:bidi="ar"/>
              </w:rPr>
              <w:t>This work</w:t>
            </w:r>
          </w:p>
        </w:tc>
      </w:tr>
    </w:tbl>
    <w:p w14:paraId="2A57FAD6" w14:textId="0C3EBDA9" w:rsidR="00F810F2" w:rsidRPr="00102620" w:rsidRDefault="00F810F2">
      <w:pPr>
        <w:rPr>
          <w:rFonts w:ascii="Times New Roman" w:hAnsi="Times New Roman" w:cs="Times New Roman"/>
        </w:rPr>
      </w:pPr>
    </w:p>
    <w:p w14:paraId="5DFEAEAB" w14:textId="6D7C6E2F" w:rsidR="00F810F2" w:rsidRPr="00102620" w:rsidRDefault="00F810F2">
      <w:pPr>
        <w:rPr>
          <w:rFonts w:ascii="Times New Roman" w:hAnsi="Times New Roman" w:cs="Times New Roman"/>
        </w:rPr>
      </w:pPr>
    </w:p>
    <w:p w14:paraId="589EA7B6" w14:textId="5994DFB6" w:rsidR="00F810F2" w:rsidRPr="00102620" w:rsidRDefault="00F810F2">
      <w:pPr>
        <w:rPr>
          <w:rFonts w:ascii="Times New Roman" w:hAnsi="Times New Roman" w:cs="Times New Roman"/>
        </w:rPr>
      </w:pPr>
    </w:p>
    <w:p w14:paraId="3F5726DA" w14:textId="7F32E48B" w:rsidR="00F810F2" w:rsidRPr="00102620" w:rsidRDefault="00F810F2">
      <w:pPr>
        <w:rPr>
          <w:rFonts w:ascii="Times New Roman" w:hAnsi="Times New Roman" w:cs="Times New Roman"/>
        </w:rPr>
      </w:pPr>
    </w:p>
    <w:p w14:paraId="5E76978A" w14:textId="06A06A78" w:rsidR="00E034FC" w:rsidRPr="00102620" w:rsidRDefault="00E034FC">
      <w:pPr>
        <w:rPr>
          <w:rFonts w:ascii="Times New Roman" w:hAnsi="Times New Roman" w:cs="Times New Roman"/>
        </w:rPr>
      </w:pPr>
    </w:p>
    <w:p w14:paraId="53212F32" w14:textId="3B1C7472" w:rsidR="00E034FC" w:rsidRPr="00102620" w:rsidRDefault="00E034FC">
      <w:pPr>
        <w:rPr>
          <w:rFonts w:ascii="Times New Roman" w:hAnsi="Times New Roman" w:cs="Times New Roman"/>
        </w:rPr>
      </w:pPr>
    </w:p>
    <w:p w14:paraId="4DAC06BD" w14:textId="5B8B6BE2" w:rsidR="00E034FC" w:rsidRPr="00102620" w:rsidRDefault="00E034FC">
      <w:pPr>
        <w:rPr>
          <w:rFonts w:ascii="Times New Roman" w:hAnsi="Times New Roman" w:cs="Times New Roman"/>
        </w:rPr>
      </w:pPr>
    </w:p>
    <w:p w14:paraId="04511052" w14:textId="185B6194" w:rsidR="00E034FC" w:rsidRPr="00102620" w:rsidRDefault="00E034FC" w:rsidP="00E034FC">
      <w:pPr>
        <w:jc w:val="left"/>
        <w:rPr>
          <w:rFonts w:ascii="Times New Roman" w:hAnsi="Times New Roman" w:cs="Times New Roman"/>
          <w:b/>
          <w:bCs/>
          <w:sz w:val="24"/>
          <w:szCs w:val="24"/>
        </w:rPr>
      </w:pPr>
      <w:r w:rsidRPr="00102620">
        <w:rPr>
          <w:rFonts w:ascii="Times New Roman" w:hAnsi="Times New Roman" w:cs="Times New Roman"/>
          <w:b/>
          <w:bCs/>
          <w:sz w:val="24"/>
          <w:szCs w:val="24"/>
        </w:rPr>
        <w:t>Reference</w:t>
      </w:r>
    </w:p>
    <w:p w14:paraId="2F1A8329" w14:textId="19906200" w:rsidR="007A7E78" w:rsidRPr="00102620" w:rsidRDefault="005B43A1" w:rsidP="007A7E78">
      <w:pPr>
        <w:pStyle w:val="a6"/>
        <w:rPr>
          <w:rFonts w:ascii="Times New Roman" w:hAnsi="Times New Roman" w:cs="Times New Roman"/>
          <w:sz w:val="24"/>
        </w:rPr>
      </w:pPr>
      <w:r w:rsidRPr="00102620">
        <w:rPr>
          <w:rFonts w:ascii="Times New Roman" w:hAnsi="Times New Roman" w:cs="Times New Roman"/>
        </w:rPr>
        <w:fldChar w:fldCharType="begin"/>
      </w:r>
      <w:r w:rsidR="007A7E78" w:rsidRPr="00102620">
        <w:rPr>
          <w:rFonts w:ascii="Times New Roman" w:hAnsi="Times New Roman" w:cs="Times New Roman"/>
        </w:rPr>
        <w:instrText xml:space="preserve"> ADDIN ZOTERO_BIBL {"uncited":[],"omitted":[],"custom":[]} CSL_BIBLIOGRAPHY </w:instrText>
      </w:r>
      <w:r w:rsidRPr="00102620">
        <w:rPr>
          <w:rFonts w:ascii="Times New Roman" w:hAnsi="Times New Roman" w:cs="Times New Roman"/>
        </w:rPr>
        <w:fldChar w:fldCharType="separate"/>
      </w:r>
      <w:r w:rsidR="007A7E78" w:rsidRPr="00102620">
        <w:rPr>
          <w:rFonts w:ascii="Times New Roman" w:hAnsi="Times New Roman" w:cs="Times New Roman"/>
          <w:sz w:val="24"/>
        </w:rPr>
        <w:t xml:space="preserve">1. </w:t>
      </w:r>
      <w:r w:rsidR="007A7E78" w:rsidRPr="00102620">
        <w:rPr>
          <w:rFonts w:ascii="Times New Roman" w:hAnsi="Times New Roman" w:cs="Times New Roman"/>
          <w:sz w:val="24"/>
        </w:rPr>
        <w:tab/>
        <w:t xml:space="preserve">Cheng J, Li Y, Li L, et al (2019) New J Chem 43:7683–7693. </w:t>
      </w:r>
    </w:p>
    <w:p w14:paraId="27269489" w14:textId="1BDC7DC9"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2. </w:t>
      </w:r>
      <w:r w:rsidRPr="00102620">
        <w:rPr>
          <w:rFonts w:ascii="Times New Roman" w:hAnsi="Times New Roman" w:cs="Times New Roman"/>
          <w:sz w:val="24"/>
        </w:rPr>
        <w:tab/>
        <w:t xml:space="preserve">Zhang C, Peng Z, Guo Y, et al (2021) Sep Purif Technol 274:119097. </w:t>
      </w:r>
    </w:p>
    <w:p w14:paraId="0E1D210B" w14:textId="4263703D"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3. </w:t>
      </w:r>
      <w:r w:rsidRPr="00102620">
        <w:rPr>
          <w:rFonts w:ascii="Times New Roman" w:hAnsi="Times New Roman" w:cs="Times New Roman"/>
          <w:sz w:val="24"/>
        </w:rPr>
        <w:tab/>
        <w:t xml:space="preserve">Sun Q, Aguila B, Perman J, et al (2017) J Am Chem Soc 139:2786–2793. </w:t>
      </w:r>
    </w:p>
    <w:p w14:paraId="0E894B3C" w14:textId="4D14239B"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4. </w:t>
      </w:r>
      <w:r w:rsidRPr="00102620">
        <w:rPr>
          <w:rFonts w:ascii="Times New Roman" w:hAnsi="Times New Roman" w:cs="Times New Roman"/>
          <w:sz w:val="24"/>
        </w:rPr>
        <w:tab/>
        <w:t xml:space="preserve">Li J, Wang S, Cao X, et al (2021) Mater Chem Front 5:3428–3435. </w:t>
      </w:r>
    </w:p>
    <w:p w14:paraId="44180507" w14:textId="52EBB58B"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5. </w:t>
      </w:r>
      <w:r w:rsidRPr="00102620">
        <w:rPr>
          <w:rFonts w:ascii="Times New Roman" w:hAnsi="Times New Roman" w:cs="Times New Roman"/>
          <w:sz w:val="24"/>
        </w:rPr>
        <w:tab/>
        <w:t xml:space="preserve">Tang CM, Qin YC, Ni CL, Zou JP (2022) ACS Appl Polym Mater 4:849–858. </w:t>
      </w:r>
    </w:p>
    <w:p w14:paraId="6885BB47" w14:textId="2246379F"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6. </w:t>
      </w:r>
      <w:r w:rsidRPr="00102620">
        <w:rPr>
          <w:rFonts w:ascii="Times New Roman" w:hAnsi="Times New Roman" w:cs="Times New Roman"/>
          <w:sz w:val="24"/>
        </w:rPr>
        <w:tab/>
        <w:t xml:space="preserve">Arshadi M (2015) Chem Eng J 259:170–182. </w:t>
      </w:r>
    </w:p>
    <w:p w14:paraId="6D6E758C" w14:textId="2EBC11D4"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7. </w:t>
      </w:r>
      <w:r w:rsidRPr="00102620">
        <w:rPr>
          <w:rFonts w:ascii="Times New Roman" w:hAnsi="Times New Roman" w:cs="Times New Roman"/>
          <w:sz w:val="24"/>
        </w:rPr>
        <w:tab/>
        <w:t xml:space="preserve">Huang L, Shen R, Liu R, Shuai Q (2020) J Hazard Mater 392:122320. </w:t>
      </w:r>
    </w:p>
    <w:p w14:paraId="41A06522" w14:textId="5374DD93"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8. </w:t>
      </w:r>
      <w:r w:rsidRPr="00102620">
        <w:rPr>
          <w:rFonts w:ascii="Times New Roman" w:hAnsi="Times New Roman" w:cs="Times New Roman"/>
          <w:sz w:val="24"/>
        </w:rPr>
        <w:tab/>
        <w:t>Panda A, Yang Y, Venkateswarlu S, et al (2020) Microporous Mesoporous Mater 306:110399.</w:t>
      </w:r>
    </w:p>
    <w:p w14:paraId="4154AB22" w14:textId="55C4A40A"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9. </w:t>
      </w:r>
      <w:r w:rsidRPr="00102620">
        <w:rPr>
          <w:rFonts w:ascii="Times New Roman" w:hAnsi="Times New Roman" w:cs="Times New Roman"/>
          <w:sz w:val="24"/>
        </w:rPr>
        <w:tab/>
        <w:t xml:space="preserve">Sang Y, Cao Y, Wang L, et al (2021) J Colloid Interface Sci 587:121–130. </w:t>
      </w:r>
    </w:p>
    <w:p w14:paraId="683612C3" w14:textId="709F7127"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10. </w:t>
      </w:r>
      <w:r w:rsidRPr="00102620">
        <w:rPr>
          <w:rFonts w:ascii="Times New Roman" w:hAnsi="Times New Roman" w:cs="Times New Roman"/>
          <w:sz w:val="24"/>
        </w:rPr>
        <w:tab/>
        <w:t xml:space="preserve">Li L, Yu B, You T (2015) Biosens Bioelectron 74:263–269. </w:t>
      </w:r>
    </w:p>
    <w:p w14:paraId="7D7AB3C1" w14:textId="2E304FD0"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11. </w:t>
      </w:r>
      <w:r w:rsidRPr="00102620">
        <w:rPr>
          <w:rFonts w:ascii="Times New Roman" w:hAnsi="Times New Roman" w:cs="Times New Roman"/>
          <w:sz w:val="24"/>
        </w:rPr>
        <w:tab/>
        <w:t xml:space="preserve">He Y, Wang X, Wang K, Wang L (2020) Dyes Pigments 173:107880. </w:t>
      </w:r>
      <w:bookmarkStart w:id="2" w:name="_GoBack"/>
      <w:bookmarkEnd w:id="2"/>
    </w:p>
    <w:p w14:paraId="674EE90C" w14:textId="61A33E64"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12. </w:t>
      </w:r>
      <w:r w:rsidRPr="00102620">
        <w:rPr>
          <w:rFonts w:ascii="Times New Roman" w:hAnsi="Times New Roman" w:cs="Times New Roman"/>
          <w:sz w:val="24"/>
        </w:rPr>
        <w:tab/>
        <w:t xml:space="preserve">Yin Y, Liu G (2021) Mater Today Commun 27:102440. </w:t>
      </w:r>
    </w:p>
    <w:p w14:paraId="594F6DF7" w14:textId="0827754D"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13. </w:t>
      </w:r>
      <w:r w:rsidRPr="00102620">
        <w:rPr>
          <w:rFonts w:ascii="Times New Roman" w:hAnsi="Times New Roman" w:cs="Times New Roman"/>
          <w:sz w:val="24"/>
        </w:rPr>
        <w:tab/>
        <w:t xml:space="preserve">Cui WR, Jiang W, Zhang CR, et al (2020) ACS Sustain Chem Eng 8:445–451. </w:t>
      </w:r>
    </w:p>
    <w:p w14:paraId="573A7931" w14:textId="619D9932"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14. </w:t>
      </w:r>
      <w:r w:rsidRPr="00102620">
        <w:rPr>
          <w:rFonts w:ascii="Times New Roman" w:hAnsi="Times New Roman" w:cs="Times New Roman"/>
          <w:sz w:val="24"/>
        </w:rPr>
        <w:tab/>
        <w:t xml:space="preserve">Yu YX, Li GL, Liu JH, Yuan DQ (2020) Chem Eng J 401:126139. </w:t>
      </w:r>
    </w:p>
    <w:p w14:paraId="79482C2E" w14:textId="1D4144E2"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15. </w:t>
      </w:r>
      <w:r w:rsidRPr="00102620">
        <w:rPr>
          <w:rFonts w:ascii="Times New Roman" w:hAnsi="Times New Roman" w:cs="Times New Roman"/>
          <w:sz w:val="24"/>
        </w:rPr>
        <w:tab/>
        <w:t xml:space="preserve">Ding SY, Dong M, Wang YW, et al (2016) J Am Chem Soc 138:3031–3037. </w:t>
      </w:r>
    </w:p>
    <w:p w14:paraId="60D3E9AE" w14:textId="476517AE"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16. </w:t>
      </w:r>
      <w:r w:rsidRPr="00102620">
        <w:rPr>
          <w:rFonts w:ascii="Times New Roman" w:hAnsi="Times New Roman" w:cs="Times New Roman"/>
          <w:sz w:val="24"/>
        </w:rPr>
        <w:tab/>
        <w:t xml:space="preserve">Lv Z, Chen Z, Feng S, et al (2022) Polym Chem 13:2320–2330. </w:t>
      </w:r>
    </w:p>
    <w:p w14:paraId="3CB8938D" w14:textId="18C66BE1"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17. </w:t>
      </w:r>
      <w:r w:rsidRPr="00102620">
        <w:rPr>
          <w:rFonts w:ascii="Times New Roman" w:hAnsi="Times New Roman" w:cs="Times New Roman"/>
          <w:sz w:val="24"/>
        </w:rPr>
        <w:tab/>
        <w:t xml:space="preserve">Zhang X, Xia T, Jiang K, et al (2017) J Solid State Chem 253:277–281. </w:t>
      </w:r>
    </w:p>
    <w:p w14:paraId="10014BD0" w14:textId="27D30CAB" w:rsidR="007A7E78" w:rsidRPr="00102620" w:rsidRDefault="007A7E78" w:rsidP="007A7E78">
      <w:pPr>
        <w:pStyle w:val="a6"/>
        <w:rPr>
          <w:rFonts w:ascii="Times New Roman" w:hAnsi="Times New Roman" w:cs="Times New Roman"/>
          <w:sz w:val="24"/>
        </w:rPr>
      </w:pPr>
      <w:r w:rsidRPr="00102620">
        <w:rPr>
          <w:rFonts w:ascii="Times New Roman" w:hAnsi="Times New Roman" w:cs="Times New Roman"/>
          <w:sz w:val="24"/>
        </w:rPr>
        <w:t xml:space="preserve">18. </w:t>
      </w:r>
      <w:r w:rsidRPr="00102620">
        <w:rPr>
          <w:rFonts w:ascii="Times New Roman" w:hAnsi="Times New Roman" w:cs="Times New Roman"/>
          <w:sz w:val="24"/>
        </w:rPr>
        <w:tab/>
        <w:t xml:space="preserve">Tang Y, Liu Y, Qin Y, et al (2016) J Colloid Interface Sci 479:7–14. </w:t>
      </w:r>
    </w:p>
    <w:p w14:paraId="2A26628E" w14:textId="0C18E1A1" w:rsidR="00F810F2" w:rsidRPr="00102620" w:rsidRDefault="005B43A1">
      <w:pPr>
        <w:rPr>
          <w:rFonts w:ascii="Times New Roman" w:hAnsi="Times New Roman" w:cs="Times New Roman"/>
        </w:rPr>
      </w:pPr>
      <w:r w:rsidRPr="00102620">
        <w:rPr>
          <w:rFonts w:ascii="Times New Roman" w:hAnsi="Times New Roman" w:cs="Times New Roman"/>
          <w:sz w:val="24"/>
          <w:szCs w:val="24"/>
        </w:rPr>
        <w:fldChar w:fldCharType="end"/>
      </w:r>
    </w:p>
    <w:sectPr w:rsidR="00F810F2" w:rsidRPr="001026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00CD4" w14:textId="77777777" w:rsidR="00B370DB" w:rsidRDefault="00B370DB" w:rsidP="00F20150">
      <w:r>
        <w:separator/>
      </w:r>
    </w:p>
  </w:endnote>
  <w:endnote w:type="continuationSeparator" w:id="0">
    <w:p w14:paraId="14D16193" w14:textId="77777777" w:rsidR="00B370DB" w:rsidRDefault="00B370DB" w:rsidP="00F20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58442" w14:textId="77777777" w:rsidR="00B370DB" w:rsidRDefault="00B370DB" w:rsidP="00F20150">
      <w:r>
        <w:separator/>
      </w:r>
    </w:p>
  </w:footnote>
  <w:footnote w:type="continuationSeparator" w:id="0">
    <w:p w14:paraId="210F0F1F" w14:textId="77777777" w:rsidR="00B370DB" w:rsidRDefault="00B370DB" w:rsidP="00F20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3CD"/>
    <w:rsid w:val="0001435A"/>
    <w:rsid w:val="00047FBD"/>
    <w:rsid w:val="00055565"/>
    <w:rsid w:val="00077472"/>
    <w:rsid w:val="000A65C7"/>
    <w:rsid w:val="000C3392"/>
    <w:rsid w:val="000F7490"/>
    <w:rsid w:val="00102620"/>
    <w:rsid w:val="001279C2"/>
    <w:rsid w:val="00146111"/>
    <w:rsid w:val="00164760"/>
    <w:rsid w:val="00174E45"/>
    <w:rsid w:val="001E2CAA"/>
    <w:rsid w:val="002100DC"/>
    <w:rsid w:val="002226D0"/>
    <w:rsid w:val="00231609"/>
    <w:rsid w:val="00240BB6"/>
    <w:rsid w:val="00274E62"/>
    <w:rsid w:val="00287DE3"/>
    <w:rsid w:val="00295572"/>
    <w:rsid w:val="00296FFC"/>
    <w:rsid w:val="002C760B"/>
    <w:rsid w:val="002D5E2F"/>
    <w:rsid w:val="002F185C"/>
    <w:rsid w:val="00303EAB"/>
    <w:rsid w:val="00322AF9"/>
    <w:rsid w:val="003C7A3C"/>
    <w:rsid w:val="003E305B"/>
    <w:rsid w:val="00460C85"/>
    <w:rsid w:val="004C05E7"/>
    <w:rsid w:val="005101B5"/>
    <w:rsid w:val="00511F96"/>
    <w:rsid w:val="00536732"/>
    <w:rsid w:val="00537C19"/>
    <w:rsid w:val="00580143"/>
    <w:rsid w:val="005879E3"/>
    <w:rsid w:val="005A1C04"/>
    <w:rsid w:val="005B43A1"/>
    <w:rsid w:val="005F178A"/>
    <w:rsid w:val="005F1A35"/>
    <w:rsid w:val="006343B5"/>
    <w:rsid w:val="0065217B"/>
    <w:rsid w:val="0067354A"/>
    <w:rsid w:val="006B23CD"/>
    <w:rsid w:val="006F414C"/>
    <w:rsid w:val="0074103D"/>
    <w:rsid w:val="00753CBA"/>
    <w:rsid w:val="007A7E78"/>
    <w:rsid w:val="007B5985"/>
    <w:rsid w:val="00817AB3"/>
    <w:rsid w:val="00876266"/>
    <w:rsid w:val="009065D8"/>
    <w:rsid w:val="0096544A"/>
    <w:rsid w:val="00993E7C"/>
    <w:rsid w:val="009B3E85"/>
    <w:rsid w:val="009D2D50"/>
    <w:rsid w:val="009E6515"/>
    <w:rsid w:val="00A673BA"/>
    <w:rsid w:val="00B370DB"/>
    <w:rsid w:val="00B43068"/>
    <w:rsid w:val="00B72CFA"/>
    <w:rsid w:val="00B80CB5"/>
    <w:rsid w:val="00B966AD"/>
    <w:rsid w:val="00C12B04"/>
    <w:rsid w:val="00CA19B5"/>
    <w:rsid w:val="00CF5668"/>
    <w:rsid w:val="00CF6489"/>
    <w:rsid w:val="00D079D3"/>
    <w:rsid w:val="00D20C64"/>
    <w:rsid w:val="00D53457"/>
    <w:rsid w:val="00D608DF"/>
    <w:rsid w:val="00DA1124"/>
    <w:rsid w:val="00DB11CD"/>
    <w:rsid w:val="00DD50F9"/>
    <w:rsid w:val="00E034FC"/>
    <w:rsid w:val="00E04C9D"/>
    <w:rsid w:val="00E30623"/>
    <w:rsid w:val="00E45C0E"/>
    <w:rsid w:val="00EA060E"/>
    <w:rsid w:val="00EB5875"/>
    <w:rsid w:val="00EB62A0"/>
    <w:rsid w:val="00EF3B75"/>
    <w:rsid w:val="00F20150"/>
    <w:rsid w:val="00F810F2"/>
    <w:rsid w:val="00F82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36AF2E"/>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01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0150"/>
    <w:rPr>
      <w:sz w:val="18"/>
      <w:szCs w:val="18"/>
    </w:rPr>
  </w:style>
  <w:style w:type="paragraph" w:styleId="a4">
    <w:name w:val="footer"/>
    <w:basedOn w:val="a"/>
    <w:link w:val="Char0"/>
    <w:uiPriority w:val="99"/>
    <w:unhideWhenUsed/>
    <w:rsid w:val="00F20150"/>
    <w:pPr>
      <w:tabs>
        <w:tab w:val="center" w:pos="4153"/>
        <w:tab w:val="right" w:pos="8306"/>
      </w:tabs>
      <w:snapToGrid w:val="0"/>
      <w:jc w:val="left"/>
    </w:pPr>
    <w:rPr>
      <w:sz w:val="18"/>
      <w:szCs w:val="18"/>
    </w:rPr>
  </w:style>
  <w:style w:type="character" w:customStyle="1" w:styleId="Char0">
    <w:name w:val="页脚 Char"/>
    <w:basedOn w:val="a0"/>
    <w:link w:val="a4"/>
    <w:uiPriority w:val="99"/>
    <w:rsid w:val="00F20150"/>
    <w:rPr>
      <w:sz w:val="18"/>
      <w:szCs w:val="18"/>
    </w:rPr>
  </w:style>
  <w:style w:type="paragraph" w:styleId="a5">
    <w:name w:val="Balloon Text"/>
    <w:basedOn w:val="a"/>
    <w:link w:val="Char1"/>
    <w:uiPriority w:val="99"/>
    <w:semiHidden/>
    <w:unhideWhenUsed/>
    <w:rsid w:val="005B43A1"/>
    <w:rPr>
      <w:sz w:val="18"/>
      <w:szCs w:val="18"/>
    </w:rPr>
  </w:style>
  <w:style w:type="character" w:customStyle="1" w:styleId="Char1">
    <w:name w:val="批注框文本 Char"/>
    <w:basedOn w:val="a0"/>
    <w:link w:val="a5"/>
    <w:uiPriority w:val="99"/>
    <w:semiHidden/>
    <w:rsid w:val="005B43A1"/>
    <w:rPr>
      <w:sz w:val="18"/>
      <w:szCs w:val="18"/>
    </w:rPr>
  </w:style>
  <w:style w:type="paragraph" w:styleId="a6">
    <w:name w:val="Bibliography"/>
    <w:basedOn w:val="a"/>
    <w:next w:val="a"/>
    <w:uiPriority w:val="37"/>
    <w:unhideWhenUsed/>
    <w:rsid w:val="005B43A1"/>
    <w:pPr>
      <w:tabs>
        <w:tab w:val="left" w:pos="504"/>
      </w:tabs>
      <w:spacing w:after="240"/>
      <w:ind w:left="504" w:hanging="5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01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0150"/>
    <w:rPr>
      <w:sz w:val="18"/>
      <w:szCs w:val="18"/>
    </w:rPr>
  </w:style>
  <w:style w:type="paragraph" w:styleId="a4">
    <w:name w:val="footer"/>
    <w:basedOn w:val="a"/>
    <w:link w:val="Char0"/>
    <w:uiPriority w:val="99"/>
    <w:unhideWhenUsed/>
    <w:rsid w:val="00F20150"/>
    <w:pPr>
      <w:tabs>
        <w:tab w:val="center" w:pos="4153"/>
        <w:tab w:val="right" w:pos="8306"/>
      </w:tabs>
      <w:snapToGrid w:val="0"/>
      <w:jc w:val="left"/>
    </w:pPr>
    <w:rPr>
      <w:sz w:val="18"/>
      <w:szCs w:val="18"/>
    </w:rPr>
  </w:style>
  <w:style w:type="character" w:customStyle="1" w:styleId="Char0">
    <w:name w:val="页脚 Char"/>
    <w:basedOn w:val="a0"/>
    <w:link w:val="a4"/>
    <w:uiPriority w:val="99"/>
    <w:rsid w:val="00F20150"/>
    <w:rPr>
      <w:sz w:val="18"/>
      <w:szCs w:val="18"/>
    </w:rPr>
  </w:style>
  <w:style w:type="paragraph" w:styleId="a5">
    <w:name w:val="Balloon Text"/>
    <w:basedOn w:val="a"/>
    <w:link w:val="Char1"/>
    <w:uiPriority w:val="99"/>
    <w:semiHidden/>
    <w:unhideWhenUsed/>
    <w:rsid w:val="005B43A1"/>
    <w:rPr>
      <w:sz w:val="18"/>
      <w:szCs w:val="18"/>
    </w:rPr>
  </w:style>
  <w:style w:type="character" w:customStyle="1" w:styleId="Char1">
    <w:name w:val="批注框文本 Char"/>
    <w:basedOn w:val="a0"/>
    <w:link w:val="a5"/>
    <w:uiPriority w:val="99"/>
    <w:semiHidden/>
    <w:rsid w:val="005B43A1"/>
    <w:rPr>
      <w:sz w:val="18"/>
      <w:szCs w:val="18"/>
    </w:rPr>
  </w:style>
  <w:style w:type="paragraph" w:styleId="a6">
    <w:name w:val="Bibliography"/>
    <w:basedOn w:val="a"/>
    <w:next w:val="a"/>
    <w:uiPriority w:val="37"/>
    <w:unhideWhenUsed/>
    <w:rsid w:val="005B43A1"/>
    <w:pPr>
      <w:tabs>
        <w:tab w:val="left" w:pos="504"/>
      </w:tabs>
      <w:spacing w:after="24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7664</Words>
  <Characters>43689</Characters>
  <Application>Microsoft Office Word</Application>
  <DocSecurity>0</DocSecurity>
  <Lines>364</Lines>
  <Paragraphs>102</Paragraphs>
  <ScaleCrop>false</ScaleCrop>
  <Company/>
  <LinksUpToDate>false</LinksUpToDate>
  <CharactersWithSpaces>51251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江琪</dc:creator>
  <cp:lastModifiedBy>z</cp:lastModifiedBy>
  <cp:revision>7</cp:revision>
  <dcterms:created xsi:type="dcterms:W3CDTF">2023-05-09T14:29:00Z</dcterms:created>
  <dcterms:modified xsi:type="dcterms:W3CDTF">2023-05-10T02:43:00Z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id="6u0VjvLH"/&gt;&lt;style id="http://www.zotero.org/styles/journal-of-polymers-and-the-environment" hasBibliography="1" bibliographyStyleHasBeenSet="1"/&gt;&lt;prefs&gt;&lt;pref name="fieldType" value="Field"/&gt;&lt;pref</vt:lpwstr>
  </property>
  <property fmtid="{D5CDD505-2E9C-101B-9397-08002B2CF9AE}" pid="3" name="ZOTERO_PREF_2">
    <vt:lpwstr> name="automaticJournalAbbreviations" value="true"/&gt;&lt;/prefs&gt;&lt;/data&gt;</vt:lpwstr>
  </property>
</Properties>
</file>