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Supplemental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Information about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SDC2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methylation kits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 w:ascii="Times New Roman" w:hAnsi="Times New Roman" w:cs="Times New Roman"/>
          <w:sz w:val="24"/>
          <w:szCs w:val="24"/>
        </w:rPr>
      </w:pPr>
    </w:p>
    <w:p>
      <w:pPr>
        <w:pBdr>
          <w:top w:val="none" w:color="auto" w:sz="0" w:space="0"/>
        </w:pBdr>
        <w:rPr>
          <w:rFonts w:hint="default" w:ascii="Times New Roman" w:hAnsi="Times New Roman" w:cs="Times New Roman"/>
          <w:sz w:val="24"/>
          <w:szCs w:val="24"/>
        </w:rPr>
      </w:pPr>
    </w:p>
    <w:p>
      <w:pPr>
        <w:pBdr>
          <w:top w:val="none" w:color="auto" w:sz="0" w:space="0"/>
        </w:pBd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pPr w:leftFromText="180" w:rightFromText="180" w:vertAnchor="page" w:horzAnchor="page" w:tblpX="1427" w:tblpY="2493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6"/>
        <w:gridCol w:w="1714"/>
        <w:gridCol w:w="1058"/>
        <w:gridCol w:w="1393"/>
        <w:gridCol w:w="76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pBdr>
                <w:top w:val="none" w:color="auto" w:sz="0" w:space="0"/>
              </w:pBd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anufacturer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pBdr>
                <w:top w:val="none" w:color="auto" w:sz="0" w:space="0"/>
              </w:pBd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Number of Participants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pBdr>
                <w:top w:val="none" w:color="auto" w:sz="0" w:space="0"/>
              </w:pBd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CpG Sites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pBdr>
                <w:top w:val="none" w:color="auto" w:sz="0" w:space="0"/>
              </w:pBd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LOD（ug/ml）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pBdr>
                <w:top w:val="none" w:color="auto" w:sz="0" w:space="0"/>
              </w:pBd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Judgment Principle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Creative Biosciences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109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54-62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0.02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≤38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positive;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value&gt;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negative.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Life Technology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66-76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0.33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or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TFPI2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≤38 were methylation positive;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or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TFPI2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&gt; 38 or Unde were methylation negative.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yellow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Genomics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91-106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≤38,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≤37and ΔCT≤9 were methylation positive; both (1)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&gt;38 and (2)Ct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≤38, ΔCT&gt;9 were methylation negative.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Realbio Technology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43-55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0.0022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Human SFRP 2 and SDC 2 gene methylation combined test kit (fluorescent PCR method) positive judgment value analysis software is used to determine the Score value, methylation positive when Score value is &lt;20; methylationnegative when Score value is 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AmoyDx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53-70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90.00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The △Ct Cut-off value of reaction solution A is 10.0 and the △Ct Cut-off value of reaction solution B is 10.5. The reaction solution A or reaction solution B of any 1 tube △Ct value &lt;△Ct Cut-off value were hypermethylated, otherwise unmethylated.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Anhui Targene Medical Technology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104-116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The risk value is calculated according to the risk value calculation formula determined by statistics, and the cut-off value was set at 5. △Ct &lt; 5 is negative, and △Ct&gt; 5 is positive.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Nanjing Vazyme Biotech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54-62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△ Ct (Ct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value -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Reference gene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value) less than 6 is hypermethylation, △ Ct &gt;6 is unmethylated.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Hangzhou Heyi Gene Technology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53-55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≤40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positive;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value&gt;40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negative.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Wuhan YZY MEDICAL Science and Technology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1-10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≤38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positive;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value&gt;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negative;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ACTB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&gt; 36 or no Ct value were considered the sample was not qualified.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Renhe Future Biotechnology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45-64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0.5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＜38,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SDC2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≤38 or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NDRG4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≤36 were methylation positive;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 xml:space="preserve">ACTB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values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＜38,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NDRG4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value &gt;39 or no Ct value and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value&gt; 39 or no Ct value were methylation negative.When the ACTB gene 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subscript"/>
                <w:lang w:val="en-US" w:eastAsia="zh-CN" w:bidi="ar-SA"/>
              </w:rPr>
              <w:t>ACTB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&gt;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38 or no Ct, the sample was not qualified or detection failed.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Supplemental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. Compliance rate of different kits for each EQA sample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</w:p>
    <w:tbl>
      <w:tblPr>
        <w:tblStyle w:val="3"/>
        <w:tblpPr w:leftFromText="180" w:rightFromText="180" w:vertAnchor="text" w:horzAnchor="page" w:tblpX="177" w:tblpY="547"/>
        <w:tblOverlap w:val="never"/>
        <w:tblW w:w="166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052"/>
        <w:gridCol w:w="1071"/>
        <w:gridCol w:w="1093"/>
        <w:gridCol w:w="1082"/>
        <w:gridCol w:w="1093"/>
        <w:gridCol w:w="1072"/>
        <w:gridCol w:w="1103"/>
        <w:gridCol w:w="1072"/>
        <w:gridCol w:w="1114"/>
        <w:gridCol w:w="1082"/>
        <w:gridCol w:w="1961"/>
        <w:gridCol w:w="19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Kit manufacturer</w:t>
            </w:r>
          </w:p>
        </w:tc>
        <w:tc>
          <w:tcPr>
            <w:tcW w:w="105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0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09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7</w:t>
            </w:r>
          </w:p>
        </w:tc>
        <w:tc>
          <w:tcPr>
            <w:tcW w:w="10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8</w:t>
            </w:r>
          </w:p>
        </w:tc>
        <w:tc>
          <w:tcPr>
            <w:tcW w:w="111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EQA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sample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10</w:t>
            </w:r>
          </w:p>
        </w:tc>
        <w:tc>
          <w:tcPr>
            <w:tcW w:w="196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Positive conformance rate</w:t>
            </w:r>
          </w:p>
        </w:tc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Negative conformance rate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Creative Biosciences  </w:t>
            </w:r>
          </w:p>
        </w:tc>
        <w:tc>
          <w:tcPr>
            <w:tcW w:w="105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7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9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8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9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7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10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7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107/109</w:t>
            </w:r>
          </w:p>
        </w:tc>
        <w:tc>
          <w:tcPr>
            <w:tcW w:w="11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08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109/109</w:t>
            </w:r>
          </w:p>
        </w:tc>
        <w:tc>
          <w:tcPr>
            <w:tcW w:w="19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870/872(99.77%)</w:t>
            </w:r>
          </w:p>
        </w:tc>
        <w:tc>
          <w:tcPr>
            <w:tcW w:w="197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218/218(100%)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Life Technology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15/15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120/120(100%)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30/30(100%)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Genomics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24/24(100%)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6/6(100%)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AmoyDx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3/3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24/24(100%)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6/6(100%)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Anhui Targene Medical Technology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1/2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13/16(81.25%)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3/4(75%)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Realbio Technology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16/16(100%)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4/4(100%)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CEYUPUHUI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0/1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8/8(100%)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1/2(50%)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Hangzhou Heyi Gene Technology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8/8(100%)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1/2(50%)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Jiaxing Yunying Medical Inspection 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8/8(100%)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Nanjing Vazyme Biotech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8/8(100%)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Wuhan YZY MEDICAL Science and Technology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96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8/8(100%)</w:t>
            </w:r>
          </w:p>
        </w:tc>
        <w:tc>
          <w:tcPr>
            <w:tcW w:w="1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2/2(100%)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5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Renhe Future Biotechnology </w:t>
            </w:r>
          </w:p>
        </w:tc>
        <w:tc>
          <w:tcPr>
            <w:tcW w:w="105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0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11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1/1</w:t>
            </w:r>
          </w:p>
        </w:tc>
        <w:tc>
          <w:tcPr>
            <w:tcW w:w="196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8/8(100%)</w:t>
            </w:r>
          </w:p>
        </w:tc>
        <w:tc>
          <w:tcPr>
            <w:tcW w:w="197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2/2(100%)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Supplemental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6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</w:t>
      </w:r>
      <w:r>
        <w:rPr>
          <w:rFonts w:ascii="Times New Roman" w:hAnsi="Times New Roman" w:cs="Times New Roman"/>
          <w:sz w:val="24"/>
          <w:szCs w:val="24"/>
        </w:rPr>
        <w:t>he SD and CV of the Ct values for the three replicate samples from each laboratory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bidi w:val="0"/>
        <w:rPr>
          <w:rFonts w:hint="default"/>
          <w:lang w:val="en-US" w:eastAsia="zh-CN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2555"/>
        <w:gridCol w:w="2555"/>
        <w:gridCol w:w="2555"/>
        <w:gridCol w:w="1310"/>
        <w:gridCol w:w="846"/>
        <w:gridCol w:w="10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Laboratory number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of EQA sample 6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of EQA sample 5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SDC2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of EQA sample 4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Mean of Ct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22.18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21.41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21.06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21.55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32.95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11.37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27.92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35.24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35.61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34.38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34.65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34.73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34.73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0.09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Nzk3MmYxNGMzYzAyZjE1ZjBlMjRiMjk5MTFjMTMifQ=="/>
  </w:docVars>
  <w:rsids>
    <w:rsidRoot w:val="00000000"/>
    <w:rsid w:val="003D6656"/>
    <w:rsid w:val="02EA151B"/>
    <w:rsid w:val="069D3B96"/>
    <w:rsid w:val="0DD36AB2"/>
    <w:rsid w:val="0FE30B6E"/>
    <w:rsid w:val="11655A38"/>
    <w:rsid w:val="3EFE386C"/>
    <w:rsid w:val="59725CF0"/>
    <w:rsid w:val="6C803B55"/>
    <w:rsid w:val="7E09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1609</Words>
  <Characters>7450</Characters>
  <Lines>0</Lines>
  <Paragraphs>0</Paragraphs>
  <TotalTime>3</TotalTime>
  <ScaleCrop>false</ScaleCrop>
  <LinksUpToDate>false</LinksUpToDate>
  <CharactersWithSpaces>7839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2023-03-31T08:17:00Z</dcterms:created>
  <dc:creator>86166</dc:creator>
  <cp:lastModifiedBy>张丽静</cp:lastModifiedBy>
  <dcterms:modified xsi:type="dcterms:W3CDTF">2023-06-08T07:10:51Z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7D31A891A49F49EF8A24F076742F96B5_13</vt:lpwstr>
  </property>
</Properties>
</file>