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tabs>
          <w:tab w:val="left" w:pos="858"/>
          <w:tab w:val="left" w:pos="860"/>
        </w:tabs>
        <w:spacing w:line="480" w:lineRule="auto"/>
        <w:ind w:leftChars="0"/>
        <w:rPr>
          <w:highlight w:val="none"/>
        </w:rPr>
      </w:pPr>
      <w:r>
        <w:rPr>
          <w:rFonts w:hint="eastAsia" w:eastAsia="宋体"/>
          <w:b/>
          <w:bCs/>
          <w:sz w:val="24"/>
          <w:szCs w:val="24"/>
          <w:highlight w:val="none"/>
          <w:lang w:val="en-US" w:eastAsia="zh-CN"/>
        </w:rPr>
        <w:t xml:space="preserve">Supplementary </w:t>
      </w:r>
      <w:r>
        <w:rPr>
          <w:highlight w:val="none"/>
        </w:rPr>
        <w:t>Figure</w:t>
      </w:r>
      <w:r>
        <w:rPr>
          <w:spacing w:val="-6"/>
          <w:highlight w:val="none"/>
        </w:rPr>
        <w:t xml:space="preserve"> </w:t>
      </w:r>
      <w:r>
        <w:rPr>
          <w:rFonts w:hint="eastAsia" w:eastAsia="宋体"/>
          <w:spacing w:val="-2"/>
          <w:highlight w:val="none"/>
          <w:lang w:val="en-US" w:eastAsia="zh-CN"/>
        </w:rPr>
        <w:t>L</w:t>
      </w:r>
      <w:r>
        <w:rPr>
          <w:spacing w:val="-2"/>
          <w:highlight w:val="none"/>
        </w:rPr>
        <w:t>egends</w:t>
      </w:r>
    </w:p>
    <w:p>
      <w:pPr>
        <w:numPr>
          <w:ilvl w:val="0"/>
          <w:numId w:val="0"/>
        </w:numPr>
        <w:spacing w:line="480" w:lineRule="auto"/>
        <w:ind w:leftChars="0"/>
        <w:jc w:val="both"/>
        <w:rPr>
          <w:rFonts w:hint="eastAsia" w:eastAsia="宋体"/>
          <w:sz w:val="24"/>
          <w:szCs w:val="24"/>
          <w:highlight w:val="none"/>
          <w:lang w:eastAsia="zh-CN"/>
        </w:rPr>
      </w:pPr>
      <w:r>
        <w:rPr>
          <w:rFonts w:hint="eastAsia" w:eastAsia="宋体"/>
          <w:b/>
          <w:bCs/>
          <w:sz w:val="24"/>
          <w:szCs w:val="24"/>
          <w:highlight w:val="none"/>
          <w:lang w:val="en-US" w:eastAsia="zh-CN"/>
        </w:rPr>
        <w:t>Supplementary Figure</w:t>
      </w:r>
      <w:r>
        <w:rPr>
          <w:rFonts w:hint="eastAsia" w:eastAsia="宋体"/>
          <w:b/>
          <w:bCs/>
          <w:sz w:val="24"/>
          <w:szCs w:val="24"/>
          <w:highlight w:val="none"/>
          <w:lang w:eastAsia="zh-CN"/>
        </w:rPr>
        <w:t xml:space="preserve"> </w:t>
      </w:r>
      <w:r>
        <w:rPr>
          <w:rFonts w:hint="eastAsia" w:eastAsia="宋体"/>
          <w:b/>
          <w:bCs/>
          <w:sz w:val="24"/>
          <w:szCs w:val="24"/>
          <w:highlight w:val="none"/>
          <w:lang w:val="en-US" w:eastAsia="zh-CN"/>
        </w:rPr>
        <w:t>1</w:t>
      </w:r>
      <w:r>
        <w:rPr>
          <w:rFonts w:hint="eastAsia" w:eastAsia="宋体"/>
          <w:sz w:val="24"/>
          <w:szCs w:val="24"/>
          <w:highlight w:val="none"/>
          <w:lang w:eastAsia="zh-CN"/>
        </w:rPr>
        <w:t xml:space="preserve"> | Identified PLGs in TNBC: </w:t>
      </w:r>
    </w:p>
    <w:p>
      <w:pPr>
        <w:numPr>
          <w:ilvl w:val="0"/>
          <w:numId w:val="0"/>
        </w:numPr>
        <w:spacing w:line="480" w:lineRule="auto"/>
        <w:ind w:leftChars="0"/>
        <w:jc w:val="both"/>
        <w:rPr>
          <w:rFonts w:hint="eastAsia" w:eastAsia="宋体"/>
          <w:sz w:val="24"/>
          <w:szCs w:val="24"/>
          <w:highlight w:val="none"/>
          <w:lang w:val="en-US" w:eastAsia="zh-CN"/>
        </w:rPr>
      </w:pPr>
      <w:r>
        <w:rPr>
          <w:rFonts w:hint="eastAsia" w:eastAsia="宋体"/>
          <w:b/>
          <w:bCs/>
          <w:sz w:val="24"/>
          <w:szCs w:val="24"/>
          <w:highlight w:val="none"/>
          <w:lang w:eastAsia="zh-CN"/>
        </w:rPr>
        <w:t>(A)</w:t>
      </w:r>
      <w:r>
        <w:rPr>
          <w:rFonts w:hint="eastAsia" w:eastAsia="宋体"/>
          <w:sz w:val="24"/>
          <w:szCs w:val="24"/>
          <w:highlight w:val="none"/>
          <w:lang w:eastAsia="zh-CN"/>
        </w:rPr>
        <w:t xml:space="preserve"> Protein expression in normal tissues and breast cancer tissues on the Human protein Altas. </w:t>
      </w:r>
      <w:r>
        <w:rPr>
          <w:rFonts w:hint="eastAsia" w:eastAsia="宋体"/>
          <w:b/>
          <w:bCs/>
          <w:sz w:val="24"/>
          <w:szCs w:val="24"/>
          <w:highlight w:val="none"/>
          <w:lang w:eastAsia="zh-CN"/>
        </w:rPr>
        <w:t>(B)</w:t>
      </w:r>
      <w:r>
        <w:rPr>
          <w:rFonts w:hint="eastAsia" w:eastAsia="宋体"/>
          <w:sz w:val="24"/>
          <w:szCs w:val="24"/>
          <w:highlight w:val="none"/>
          <w:lang w:eastAsia="zh-CN"/>
        </w:rPr>
        <w:t xml:space="preserve"> </w:t>
      </w:r>
      <w:r>
        <w:rPr>
          <w:rFonts w:hint="eastAsia" w:eastAsia="宋体"/>
          <w:sz w:val="24"/>
          <w:szCs w:val="24"/>
          <w:highlight w:val="none"/>
          <w:lang w:val="en-US" w:eastAsia="zh-CN"/>
        </w:rPr>
        <w:t>Expression of NDUFAF3, FH and CARS2 in HCC1806 cells transfected with pSin-EF2-NDUFAF3, pSin-EF2-FH, pSin-EF2-CARS2 or empty vector.</w:t>
      </w:r>
    </w:p>
    <w:p>
      <w:pPr>
        <w:numPr>
          <w:ilvl w:val="0"/>
          <w:numId w:val="0"/>
        </w:numPr>
        <w:spacing w:line="480" w:lineRule="auto"/>
        <w:ind w:leftChars="0"/>
        <w:jc w:val="both"/>
        <w:rPr>
          <w:rFonts w:hint="eastAsia" w:eastAsia="宋体"/>
          <w:sz w:val="24"/>
          <w:szCs w:val="24"/>
          <w:highlight w:val="none"/>
          <w:lang w:val="en-US" w:eastAsia="zh-CN"/>
        </w:rPr>
      </w:pPr>
    </w:p>
    <w:p>
      <w:pPr>
        <w:numPr>
          <w:ilvl w:val="0"/>
          <w:numId w:val="0"/>
        </w:numPr>
        <w:spacing w:line="480" w:lineRule="auto"/>
        <w:ind w:leftChars="0"/>
        <w:jc w:val="both"/>
        <w:rPr>
          <w:rFonts w:hint="default" w:eastAsia="宋体"/>
          <w:sz w:val="24"/>
          <w:szCs w:val="24"/>
          <w:highlight w:val="none"/>
          <w:lang w:val="en-US" w:eastAsia="zh-CN"/>
        </w:rPr>
      </w:pPr>
      <w:r>
        <w:rPr>
          <w:rFonts w:hint="eastAsia" w:eastAsia="宋体"/>
          <w:b/>
          <w:bCs/>
          <w:sz w:val="24"/>
          <w:szCs w:val="24"/>
          <w:highlight w:val="none"/>
          <w:lang w:val="en-US" w:eastAsia="zh-CN"/>
        </w:rPr>
        <w:t>Supplementary Figure</w:t>
      </w:r>
      <w:r>
        <w:rPr>
          <w:rFonts w:hint="eastAsia" w:eastAsia="宋体"/>
          <w:b/>
          <w:bCs/>
          <w:sz w:val="24"/>
          <w:szCs w:val="24"/>
          <w:highlight w:val="none"/>
          <w:lang w:eastAsia="zh-CN"/>
        </w:rPr>
        <w:t xml:space="preserve"> </w:t>
      </w:r>
      <w:r>
        <w:rPr>
          <w:rFonts w:hint="eastAsia" w:eastAsia="宋体"/>
          <w:b/>
          <w:bCs/>
          <w:sz w:val="24"/>
          <w:szCs w:val="24"/>
          <w:highlight w:val="none"/>
          <w:lang w:val="en-US" w:eastAsia="zh-CN"/>
        </w:rPr>
        <w:t>2</w:t>
      </w:r>
      <w:r>
        <w:rPr>
          <w:rFonts w:hint="eastAsia" w:eastAsia="宋体"/>
          <w:sz w:val="24"/>
          <w:szCs w:val="24"/>
          <w:highlight w:val="none"/>
          <w:lang w:eastAsia="zh-CN"/>
        </w:rPr>
        <w:t xml:space="preserve"> | </w:t>
      </w:r>
      <w:r>
        <w:rPr>
          <w:rFonts w:hint="eastAsia" w:eastAsia="宋体"/>
          <w:sz w:val="24"/>
          <w:szCs w:val="24"/>
          <w:highlight w:val="none"/>
          <w:lang w:val="en-US" w:eastAsia="zh-CN"/>
        </w:rPr>
        <w:t>The lactate abundance of two risk group:</w:t>
      </w:r>
    </w:p>
    <w:p>
      <w:pPr>
        <w:numPr>
          <w:ilvl w:val="0"/>
          <w:numId w:val="0"/>
        </w:numPr>
        <w:spacing w:line="480" w:lineRule="auto"/>
        <w:ind w:leftChars="0"/>
        <w:jc w:val="both"/>
        <w:rPr>
          <w:rFonts w:hint="eastAsia" w:eastAsia="宋体"/>
          <w:sz w:val="24"/>
          <w:szCs w:val="24"/>
          <w:highlight w:val="none"/>
          <w:lang w:val="en-US" w:eastAsia="zh-CN"/>
        </w:rPr>
      </w:pPr>
      <w:r>
        <w:rPr>
          <w:rFonts w:hint="eastAsia" w:eastAsia="宋体"/>
          <w:b/>
          <w:bCs/>
          <w:sz w:val="24"/>
          <w:szCs w:val="24"/>
          <w:highlight w:val="none"/>
          <w:lang w:eastAsia="zh-CN"/>
        </w:rPr>
        <w:t>(A)</w:t>
      </w:r>
      <w:r>
        <w:rPr>
          <w:rFonts w:hint="eastAsia" w:eastAsia="宋体"/>
          <w:sz w:val="24"/>
          <w:szCs w:val="24"/>
          <w:highlight w:val="none"/>
          <w:lang w:eastAsia="zh-CN"/>
        </w:rPr>
        <w:t xml:space="preserve"> the high-risk group had higher lactate abundance</w:t>
      </w:r>
      <w:r>
        <w:rPr>
          <w:rFonts w:hint="eastAsia" w:eastAsia="宋体"/>
          <w:sz w:val="24"/>
          <w:szCs w:val="24"/>
          <w:highlight w:val="none"/>
          <w:lang w:val="en-US" w:eastAsia="zh-CN"/>
        </w:rPr>
        <w:t xml:space="preserve">. The </w:t>
      </w:r>
      <w:r>
        <w:rPr>
          <w:rFonts w:hint="eastAsia" w:eastAsia="宋体"/>
          <w:i/>
          <w:iCs/>
          <w:sz w:val="24"/>
          <w:szCs w:val="24"/>
          <w:highlight w:val="none"/>
          <w:lang w:val="en-US" w:eastAsia="zh-CN"/>
        </w:rPr>
        <w:t>p</w:t>
      </w:r>
      <w:r>
        <w:rPr>
          <w:rFonts w:hint="eastAsia" w:eastAsia="宋体"/>
          <w:sz w:val="24"/>
          <w:szCs w:val="24"/>
          <w:highlight w:val="none"/>
          <w:lang w:val="en-US" w:eastAsia="zh-CN"/>
        </w:rPr>
        <w:t>-value is &lt; 0.05.</w:t>
      </w:r>
    </w:p>
    <w:p>
      <w:pPr>
        <w:numPr>
          <w:ilvl w:val="0"/>
          <w:numId w:val="0"/>
        </w:numPr>
        <w:spacing w:line="480" w:lineRule="auto"/>
        <w:ind w:leftChars="0"/>
        <w:jc w:val="both"/>
        <w:rPr>
          <w:rFonts w:hint="eastAsia" w:eastAsia="宋体"/>
          <w:sz w:val="24"/>
          <w:szCs w:val="24"/>
          <w:highlight w:val="none"/>
          <w:lang w:val="en-US" w:eastAsia="zh-CN"/>
        </w:rPr>
      </w:pPr>
    </w:p>
    <w:p>
      <w:pPr>
        <w:numPr>
          <w:ilvl w:val="0"/>
          <w:numId w:val="0"/>
        </w:numPr>
        <w:spacing w:line="480" w:lineRule="auto"/>
        <w:ind w:leftChars="0"/>
        <w:jc w:val="both"/>
        <w:rPr>
          <w:rFonts w:eastAsia="宋体"/>
          <w:sz w:val="24"/>
          <w:szCs w:val="24"/>
          <w:highlight w:val="none"/>
          <w:lang w:eastAsia="zh-CN"/>
        </w:rPr>
      </w:pPr>
      <w:r>
        <w:rPr>
          <w:rFonts w:hint="eastAsia" w:eastAsia="宋体"/>
          <w:b/>
          <w:bCs/>
          <w:sz w:val="24"/>
          <w:szCs w:val="24"/>
          <w:highlight w:val="none"/>
          <w:lang w:val="en-US" w:eastAsia="zh-CN"/>
        </w:rPr>
        <w:t>Supplementary Figure</w:t>
      </w:r>
      <w:r>
        <w:rPr>
          <w:rFonts w:hint="eastAsia" w:eastAsia="宋体"/>
          <w:b/>
          <w:bCs/>
          <w:sz w:val="24"/>
          <w:szCs w:val="24"/>
          <w:highlight w:val="none"/>
          <w:lang w:eastAsia="zh-CN"/>
        </w:rPr>
        <w:t xml:space="preserve"> </w:t>
      </w:r>
      <w:r>
        <w:rPr>
          <w:rFonts w:hint="eastAsia" w:eastAsia="宋体"/>
          <w:b/>
          <w:bCs/>
          <w:sz w:val="24"/>
          <w:szCs w:val="24"/>
          <w:highlight w:val="none"/>
          <w:lang w:val="en-US" w:eastAsia="zh-CN"/>
        </w:rPr>
        <w:t>3</w:t>
      </w:r>
      <w:r>
        <w:rPr>
          <w:rFonts w:hint="eastAsia" w:eastAsia="宋体"/>
          <w:sz w:val="24"/>
          <w:szCs w:val="24"/>
          <w:highlight w:val="none"/>
          <w:lang w:eastAsia="zh-CN"/>
        </w:rPr>
        <w:t xml:space="preserve"> |</w:t>
      </w:r>
      <w:r>
        <w:rPr>
          <w:rFonts w:hint="eastAsia" w:eastAsia="宋体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eastAsia="宋体"/>
          <w:sz w:val="24"/>
          <w:szCs w:val="24"/>
          <w:highlight w:val="none"/>
          <w:lang w:eastAsia="zh-CN"/>
        </w:rPr>
        <w:t xml:space="preserve">LRS acts as an independent risk factor: </w:t>
      </w:r>
    </w:p>
    <w:p>
      <w:pPr>
        <w:numPr>
          <w:ilvl w:val="0"/>
          <w:numId w:val="0"/>
        </w:numPr>
        <w:spacing w:line="480" w:lineRule="auto"/>
        <w:ind w:leftChars="0"/>
        <w:jc w:val="both"/>
        <w:rPr>
          <w:rFonts w:hint="eastAsia" w:eastAsia="宋体"/>
          <w:sz w:val="24"/>
          <w:szCs w:val="24"/>
          <w:highlight w:val="none"/>
          <w:lang w:eastAsia="zh-CN"/>
        </w:rPr>
      </w:pPr>
      <w:r>
        <w:rPr>
          <w:rFonts w:hint="eastAsia" w:eastAsia="宋体"/>
          <w:b/>
          <w:bCs/>
          <w:sz w:val="24"/>
          <w:szCs w:val="24"/>
          <w:highlight w:val="none"/>
          <w:lang w:eastAsia="zh-CN"/>
        </w:rPr>
        <w:t>(A)</w:t>
      </w:r>
      <w:r>
        <w:rPr>
          <w:rFonts w:hint="eastAsia" w:eastAsia="宋体"/>
          <w:sz w:val="24"/>
          <w:szCs w:val="24"/>
          <w:highlight w:val="none"/>
          <w:lang w:eastAsia="zh-CN"/>
        </w:rPr>
        <w:t xml:space="preserve"> The forest plot showed the result of multivariate Cox regression analysis in the TCGA cohort. </w:t>
      </w:r>
      <w:r>
        <w:rPr>
          <w:rFonts w:hint="eastAsia" w:eastAsia="宋体"/>
          <w:b/>
          <w:bCs/>
          <w:sz w:val="24"/>
          <w:szCs w:val="24"/>
          <w:highlight w:val="none"/>
          <w:lang w:eastAsia="zh-CN"/>
        </w:rPr>
        <w:t>(B-D)</w:t>
      </w:r>
      <w:r>
        <w:rPr>
          <w:rFonts w:hint="eastAsia" w:eastAsia="宋体"/>
          <w:sz w:val="24"/>
          <w:szCs w:val="24"/>
          <w:highlight w:val="none"/>
          <w:lang w:eastAsia="zh-CN"/>
        </w:rPr>
        <w:t xml:space="preserve"> Proportion of clinical features (age, tumor</w:t>
      </w:r>
      <w:r>
        <w:rPr>
          <w:rFonts w:hint="eastAsia" w:eastAsia="宋体"/>
          <w:sz w:val="24"/>
          <w:szCs w:val="24"/>
          <w:highlight w:val="none"/>
          <w:lang w:val="en-US" w:eastAsia="zh-CN"/>
        </w:rPr>
        <w:t xml:space="preserve"> clinical </w:t>
      </w:r>
      <w:r>
        <w:rPr>
          <w:rFonts w:hint="eastAsia" w:eastAsia="宋体"/>
          <w:sz w:val="24"/>
          <w:szCs w:val="24"/>
          <w:highlight w:val="none"/>
          <w:lang w:eastAsia="zh-CN"/>
        </w:rPr>
        <w:t>stage and N_stage) in the low-risk group and high-risk group w</w:t>
      </w:r>
      <w:r>
        <w:rPr>
          <w:rFonts w:hint="eastAsia" w:eastAsia="宋体"/>
          <w:sz w:val="24"/>
          <w:szCs w:val="24"/>
          <w:highlight w:val="none"/>
          <w:lang w:val="en-US" w:eastAsia="zh-CN"/>
        </w:rPr>
        <w:t>ere</w:t>
      </w:r>
      <w:r>
        <w:rPr>
          <w:rFonts w:hint="eastAsia" w:eastAsia="宋体"/>
          <w:sz w:val="24"/>
          <w:szCs w:val="24"/>
          <w:highlight w:val="none"/>
          <w:lang w:eastAsia="zh-CN"/>
        </w:rPr>
        <w:t xml:space="preserve"> shown respectively. </w:t>
      </w:r>
      <w:r>
        <w:rPr>
          <w:rFonts w:hint="eastAsia" w:eastAsia="宋体"/>
          <w:b/>
          <w:bCs/>
          <w:sz w:val="24"/>
          <w:szCs w:val="24"/>
          <w:highlight w:val="none"/>
          <w:lang w:eastAsia="zh-CN"/>
        </w:rPr>
        <w:t>(E)</w:t>
      </w:r>
      <w:r>
        <w:rPr>
          <w:rFonts w:hint="eastAsia" w:eastAsia="宋体"/>
          <w:sz w:val="24"/>
          <w:szCs w:val="24"/>
          <w:highlight w:val="none"/>
          <w:lang w:eastAsia="zh-CN"/>
        </w:rPr>
        <w:t xml:space="preserve"> The patients in the GSE18864 cohort were divided into two different risk groups. The horizontal histogram showed the differences </w:t>
      </w:r>
      <w:r>
        <w:rPr>
          <w:rFonts w:hint="eastAsia" w:eastAsia="宋体"/>
          <w:sz w:val="24"/>
          <w:szCs w:val="24"/>
          <w:highlight w:val="none"/>
          <w:lang w:val="en-US" w:eastAsia="zh-CN"/>
        </w:rPr>
        <w:t>in</w:t>
      </w:r>
      <w:r>
        <w:rPr>
          <w:rFonts w:hint="eastAsia" w:eastAsia="宋体"/>
          <w:sz w:val="24"/>
          <w:szCs w:val="24"/>
          <w:highlight w:val="none"/>
          <w:lang w:eastAsia="zh-CN"/>
        </w:rPr>
        <w:t xml:space="preserve"> the pathologic response to cisplatin neoadjuvant chemotherapy. </w:t>
      </w:r>
    </w:p>
    <w:p>
      <w:pPr>
        <w:numPr>
          <w:ilvl w:val="0"/>
          <w:numId w:val="0"/>
        </w:numPr>
        <w:spacing w:line="480" w:lineRule="auto"/>
        <w:ind w:leftChars="0"/>
        <w:jc w:val="both"/>
        <w:rPr>
          <w:rFonts w:hint="eastAsia" w:eastAsia="宋体"/>
          <w:sz w:val="24"/>
          <w:szCs w:val="24"/>
          <w:highlight w:val="none"/>
          <w:lang w:eastAsia="zh-CN"/>
        </w:rPr>
      </w:pPr>
    </w:p>
    <w:p>
      <w:pPr>
        <w:numPr>
          <w:ilvl w:val="0"/>
          <w:numId w:val="0"/>
        </w:numPr>
        <w:spacing w:line="480" w:lineRule="auto"/>
        <w:ind w:leftChars="0"/>
        <w:jc w:val="both"/>
        <w:rPr>
          <w:rFonts w:eastAsia="宋体"/>
          <w:sz w:val="24"/>
          <w:szCs w:val="24"/>
          <w:highlight w:val="none"/>
          <w:lang w:eastAsia="zh-CN"/>
        </w:rPr>
      </w:pPr>
      <w:r>
        <w:rPr>
          <w:rFonts w:hint="eastAsia" w:eastAsia="宋体"/>
          <w:b/>
          <w:bCs/>
          <w:sz w:val="24"/>
          <w:szCs w:val="24"/>
          <w:highlight w:val="none"/>
          <w:lang w:val="en-US" w:eastAsia="zh-CN"/>
        </w:rPr>
        <w:t>Supplementary Figure</w:t>
      </w:r>
      <w:r>
        <w:rPr>
          <w:rFonts w:hint="eastAsia" w:eastAsia="宋体"/>
          <w:b/>
          <w:bCs/>
          <w:sz w:val="24"/>
          <w:szCs w:val="24"/>
          <w:highlight w:val="none"/>
          <w:lang w:eastAsia="zh-CN"/>
        </w:rPr>
        <w:t xml:space="preserve"> </w:t>
      </w:r>
      <w:r>
        <w:rPr>
          <w:rFonts w:hint="eastAsia" w:eastAsia="宋体"/>
          <w:b/>
          <w:bCs/>
          <w:sz w:val="24"/>
          <w:szCs w:val="24"/>
          <w:highlight w:val="none"/>
          <w:lang w:val="en-US" w:eastAsia="zh-CN"/>
        </w:rPr>
        <w:t>4</w:t>
      </w:r>
      <w:r>
        <w:rPr>
          <w:rFonts w:hint="eastAsia" w:eastAsia="宋体"/>
          <w:sz w:val="24"/>
          <w:szCs w:val="24"/>
          <w:highlight w:val="none"/>
          <w:lang w:eastAsia="zh-CN"/>
        </w:rPr>
        <w:t xml:space="preserve"> | The correlation between </w:t>
      </w:r>
      <w:r>
        <w:rPr>
          <w:rFonts w:hint="eastAsia" w:eastAsia="宋体"/>
          <w:sz w:val="24"/>
          <w:szCs w:val="24"/>
          <w:highlight w:val="none"/>
          <w:lang w:val="en-US" w:eastAsia="zh-CN"/>
        </w:rPr>
        <w:t>LRS</w:t>
      </w:r>
      <w:r>
        <w:rPr>
          <w:rFonts w:hint="eastAsia" w:eastAsia="宋体"/>
          <w:sz w:val="24"/>
          <w:szCs w:val="24"/>
          <w:highlight w:val="none"/>
          <w:lang w:eastAsia="zh-CN"/>
        </w:rPr>
        <w:t xml:space="preserve"> and ICIs response: </w:t>
      </w:r>
    </w:p>
    <w:p>
      <w:pPr>
        <w:numPr>
          <w:ilvl w:val="0"/>
          <w:numId w:val="0"/>
        </w:numPr>
        <w:spacing w:line="480" w:lineRule="auto"/>
        <w:ind w:leftChars="0"/>
        <w:jc w:val="both"/>
      </w:pPr>
      <w:r>
        <w:rPr>
          <w:rFonts w:hint="eastAsia" w:eastAsia="宋体"/>
          <w:b/>
          <w:bCs/>
          <w:sz w:val="24"/>
          <w:szCs w:val="24"/>
          <w:highlight w:val="none"/>
          <w:lang w:eastAsia="zh-CN"/>
        </w:rPr>
        <w:t>(A)</w:t>
      </w:r>
      <w:r>
        <w:rPr>
          <w:rFonts w:hint="eastAsia" w:eastAsia="宋体"/>
          <w:sz w:val="24"/>
          <w:szCs w:val="24"/>
          <w:highlight w:val="none"/>
          <w:lang w:eastAsia="zh-CN"/>
        </w:rPr>
        <w:t xml:space="preserve"> Violin plots showing the difference of the TIED score, MSI score, Dysfunction score and Exclusion score between the high-risk and low-risk groups. </w:t>
      </w:r>
      <w:r>
        <w:rPr>
          <w:rFonts w:hint="eastAsia" w:eastAsia="宋体"/>
          <w:b/>
          <w:bCs/>
          <w:sz w:val="24"/>
          <w:szCs w:val="24"/>
          <w:highlight w:val="none"/>
          <w:lang w:eastAsia="zh-CN"/>
        </w:rPr>
        <w:t>(B)</w:t>
      </w:r>
      <w:r>
        <w:rPr>
          <w:rFonts w:hint="eastAsia" w:eastAsia="宋体"/>
          <w:sz w:val="24"/>
          <w:szCs w:val="24"/>
          <w:highlight w:val="none"/>
          <w:lang w:eastAsia="zh-CN"/>
        </w:rPr>
        <w:t xml:space="preserve"> Heatmap showing the correlation between immune-related genes and LRS as well as three PLGs included in LPRM. </w:t>
      </w:r>
      <w:bookmarkStart w:id="0" w:name="_GoBack"/>
      <w:bookmarkEnd w:id="0"/>
    </w:p>
    <w:sectPr>
      <w:pgSz w:w="11906" w:h="16838"/>
      <w:pgMar w:top="1440" w:right="1797" w:bottom="1440" w:left="1797" w:header="851" w:footer="992" w:gutter="0"/>
      <w:lnNumType w:countBy="1" w:restart="continuous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zUzMWQ4OWI0YzBkYjYzMDRhZTY5ZjZkYmFmYTgifQ=="/>
  </w:docVars>
  <w:rsids>
    <w:rsidRoot w:val="1D6D4CAF"/>
    <w:rsid w:val="1D6D4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paragraph" w:styleId="2">
    <w:name w:val="heading 2"/>
    <w:basedOn w:val="1"/>
    <w:next w:val="1"/>
    <w:qFormat/>
    <w:uiPriority w:val="1"/>
    <w:pPr>
      <w:spacing w:before="90"/>
      <w:ind w:left="859" w:hanging="693"/>
      <w:outlineLvl w:val="1"/>
    </w:pPr>
    <w:rPr>
      <w:b/>
      <w:bCs/>
      <w:sz w:val="24"/>
      <w:szCs w:val="2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2023-06-08T02:31:00Z</dcterms:created>
  <dc:creator>极</dc:creator>
  <cp:lastModifiedBy>极</cp:lastModifiedBy>
  <dcterms:modified xsi:type="dcterms:W3CDTF">2023-06-08T02:32:17Z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5F2514BE7F1D4370B8C4E4DB44C51367_11</vt:lpwstr>
  </property>
</Properties>
</file>