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02D7" w:rsidRDefault="004502D7" w:rsidP="004502D7">
      <w:pPr>
        <w:rPr>
          <w:rFonts w:hint="eastAsia"/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Supplementary materials</w:t>
      </w:r>
    </w:p>
    <w:p w:rsidR="00F04D15" w:rsidRDefault="00F04D15">
      <w:r w:rsidRPr="00B80F8B">
        <w:rPr>
          <w:rFonts w:hint="eastAsia"/>
          <w:b/>
          <w:sz w:val="24"/>
          <w:szCs w:val="24"/>
        </w:rPr>
        <w:t>Supplementary Figures</w:t>
      </w:r>
    </w:p>
    <w:p w:rsidR="00042C87" w:rsidRPr="00042C87" w:rsidRDefault="00042C87">
      <w:pPr>
        <w:rPr>
          <w:b/>
        </w:rPr>
      </w:pPr>
      <w:r>
        <w:rPr>
          <w:noProof/>
        </w:rPr>
        <w:drawing>
          <wp:inline distT="0" distB="0" distL="0" distR="0" wp14:anchorId="04FBF3C7" wp14:editId="50C3C281">
            <wp:extent cx="5273040" cy="5760720"/>
            <wp:effectExtent l="0" t="0" r="3810" b="0"/>
            <wp:docPr id="1" name="图片 1" descr="H:\project\multiOmics\figure results\refine\Fig S1 mutations_varsca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roject\multiOmics\figure results\refine\Fig S1 mutations_varscan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248"/>
                    <a:stretch/>
                  </pic:blipFill>
                  <pic:spPr bwMode="auto">
                    <a:xfrm>
                      <a:off x="0" y="0"/>
                      <a:ext cx="527304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1206" w:rsidRPr="00042C87">
        <w:rPr>
          <w:rFonts w:hint="eastAsia"/>
          <w:b/>
        </w:rPr>
        <w:t xml:space="preserve">Fig S1. </w:t>
      </w:r>
      <w:r w:rsidR="002F1206" w:rsidRPr="00042C87">
        <w:rPr>
          <w:b/>
        </w:rPr>
        <w:t>Genetic profile of the thyroid cancer patients with different recurrent risk</w:t>
      </w:r>
      <w:r w:rsidR="00A82FBE">
        <w:rPr>
          <w:rFonts w:hint="eastAsia"/>
          <w:b/>
        </w:rPr>
        <w:t>.</w:t>
      </w:r>
    </w:p>
    <w:p w:rsidR="00042C87" w:rsidRDefault="00042C87">
      <w:pPr>
        <w:widowControl/>
        <w:jc w:val="left"/>
      </w:pPr>
      <w:r w:rsidRPr="00042C87">
        <w:t>a. Pathways affected by the somatic mutation genes (SMGs).</w:t>
      </w:r>
      <w:r w:rsidRPr="00042C87">
        <w:cr/>
        <w:t>b. The mutation profiles in the RTK-RAS pathway. The red grid represents one gene is mutated in a samle.</w:t>
      </w:r>
      <w:r w:rsidRPr="00042C87">
        <w:cr/>
        <w:t>c. Comparision of the SMG in our cohort and the TCGA-THCA dataset.</w:t>
      </w:r>
      <w:r w:rsidRPr="00042C87">
        <w:cr/>
        <w:t>d. The copy number variation between tumor and normal samples.</w:t>
      </w:r>
      <w:r w:rsidRPr="00042C87">
        <w:cr/>
        <w:t>e. The genes recurrently fused based on the gene fusion results</w:t>
      </w:r>
      <w:r w:rsidRPr="00042C87">
        <w:cr/>
      </w:r>
      <w:r>
        <w:br w:type="page"/>
      </w:r>
    </w:p>
    <w:p w:rsidR="00042C87" w:rsidRDefault="00042C87">
      <w:r>
        <w:rPr>
          <w:noProof/>
        </w:rPr>
        <w:lastRenderedPageBreak/>
        <w:drawing>
          <wp:inline distT="0" distB="0" distL="0" distR="0" wp14:anchorId="5CA36839" wp14:editId="03E2395D">
            <wp:extent cx="5274310" cy="41503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s2_TumorVSNormal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C87" w:rsidRPr="00042C87" w:rsidRDefault="00042C87">
      <w:pPr>
        <w:rPr>
          <w:b/>
        </w:rPr>
      </w:pPr>
      <w:r w:rsidRPr="00042C87">
        <w:rPr>
          <w:b/>
        </w:rPr>
        <w:t>Fig S2. Differentially expressed molecules (DEMs) identified based on the multi-omics</w:t>
      </w:r>
      <w:r w:rsidR="00A82FBE">
        <w:rPr>
          <w:rFonts w:hint="eastAsia"/>
          <w:b/>
        </w:rPr>
        <w:t>.</w:t>
      </w:r>
    </w:p>
    <w:p w:rsidR="003571F5" w:rsidRDefault="00042C87">
      <w:pPr>
        <w:widowControl/>
        <w:jc w:val="left"/>
        <w:rPr>
          <w:rFonts w:hint="eastAsia"/>
        </w:rPr>
      </w:pPr>
      <w:r w:rsidRPr="00042C87">
        <w:t>a. Differential expres</w:t>
      </w:r>
      <w:r w:rsidR="003571F5">
        <w:t>sion analysis results for mRNA</w:t>
      </w:r>
      <w:r w:rsidR="003571F5">
        <w:rPr>
          <w:rFonts w:hint="eastAsia"/>
        </w:rPr>
        <w:t>.</w:t>
      </w:r>
    </w:p>
    <w:p w:rsidR="00042C87" w:rsidRDefault="00042C87">
      <w:pPr>
        <w:widowControl/>
        <w:jc w:val="left"/>
      </w:pPr>
      <w:r w:rsidRPr="00042C87">
        <w:t>b.Differential expression analysis results for metabolite</w:t>
      </w:r>
      <w:r w:rsidR="003571F5">
        <w:rPr>
          <w:rFonts w:hint="eastAsia"/>
        </w:rPr>
        <w:t>.</w:t>
      </w:r>
      <w:r w:rsidRPr="00042C87">
        <w:cr/>
        <w:t>c.Differential expression analysis results for Phosph protein</w:t>
      </w:r>
      <w:r w:rsidR="003571F5">
        <w:rPr>
          <w:rFonts w:hint="eastAsia"/>
        </w:rPr>
        <w:t>.</w:t>
      </w:r>
      <w:r w:rsidRPr="00042C87">
        <w:cr/>
        <w:t>d.Differential expression analysis results for protein</w:t>
      </w:r>
      <w:r w:rsidR="003571F5">
        <w:rPr>
          <w:rFonts w:hint="eastAsia"/>
        </w:rPr>
        <w:t>.</w:t>
      </w:r>
      <w:r w:rsidRPr="00042C87">
        <w:cr/>
      </w:r>
      <w:r>
        <w:br w:type="page"/>
      </w:r>
    </w:p>
    <w:p w:rsidR="00042C87" w:rsidRDefault="00042C87">
      <w:r>
        <w:rPr>
          <w:noProof/>
        </w:rPr>
        <w:lastRenderedPageBreak/>
        <w:drawing>
          <wp:inline distT="0" distB="0" distL="0" distR="0" wp14:anchorId="6B4F7CEC" wp14:editId="63784E49">
            <wp:extent cx="5274310" cy="5655310"/>
            <wp:effectExtent l="0" t="0" r="254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3 DEM necroptosis &amp; apoptosis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5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E5E" w:rsidRDefault="00042C87">
      <w:pPr>
        <w:rPr>
          <w:b/>
        </w:rPr>
      </w:pPr>
      <w:r w:rsidRPr="00A82FBE">
        <w:rPr>
          <w:rFonts w:hint="eastAsia"/>
          <w:b/>
        </w:rPr>
        <w:t>Fig S3. The expressional profiles of the differentially expressed molecules</w:t>
      </w:r>
      <w:r w:rsidR="00896E5E">
        <w:rPr>
          <w:rFonts w:hint="eastAsia"/>
          <w:b/>
        </w:rPr>
        <w:t>.</w:t>
      </w:r>
    </w:p>
    <w:p w:rsidR="00042C87" w:rsidRPr="00896E5E" w:rsidRDefault="00896E5E">
      <w:r w:rsidRPr="00896E5E">
        <w:rPr>
          <w:rFonts w:hint="eastAsia"/>
        </w:rPr>
        <w:t>a-b.</w:t>
      </w:r>
      <w:r w:rsidR="00042C87" w:rsidRPr="00896E5E">
        <w:rPr>
          <w:rFonts w:hint="eastAsia"/>
        </w:rPr>
        <w:t xml:space="preserve"> </w:t>
      </w:r>
      <w:r w:rsidRPr="00896E5E">
        <w:rPr>
          <w:rFonts w:hint="eastAsia"/>
        </w:rPr>
        <w:t xml:space="preserve">The expressional profiles of the differentially expressed molecules </w:t>
      </w:r>
      <w:r w:rsidR="00042C87" w:rsidRPr="00896E5E">
        <w:rPr>
          <w:rFonts w:hint="eastAsia"/>
        </w:rPr>
        <w:t>in necroptosis (a) and apoptosis (b) pathways.</w:t>
      </w:r>
    </w:p>
    <w:p w:rsidR="00042C87" w:rsidRPr="00896E5E" w:rsidRDefault="00042C87">
      <w:pPr>
        <w:widowControl/>
        <w:jc w:val="left"/>
      </w:pPr>
      <w:r w:rsidRPr="00896E5E">
        <w:br w:type="page"/>
      </w:r>
    </w:p>
    <w:p w:rsidR="00042C87" w:rsidRDefault="00A82FBE">
      <w:r>
        <w:rPr>
          <w:noProof/>
        </w:rPr>
        <w:lastRenderedPageBreak/>
        <w:drawing>
          <wp:inline distT="0" distB="0" distL="0" distR="0">
            <wp:extent cx="5274310" cy="4772660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4 t2n diff 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FBE" w:rsidRPr="00A82FBE" w:rsidRDefault="00A82FBE">
      <w:pPr>
        <w:rPr>
          <w:b/>
        </w:rPr>
      </w:pPr>
      <w:r w:rsidRPr="00A82FBE">
        <w:rPr>
          <w:rFonts w:hint="eastAsia"/>
          <w:b/>
        </w:rPr>
        <w:t>Fig S4. Recurrence risk relevant molecular and pathway characteristics.</w:t>
      </w:r>
    </w:p>
    <w:p w:rsidR="00A82FBE" w:rsidRDefault="00A82FBE">
      <w:r>
        <w:rPr>
          <w:rFonts w:hint="eastAsia"/>
        </w:rPr>
        <w:t>a. The differential expressions between tumor and normal samples for the recurrence risk relevant molecules</w:t>
      </w:r>
      <w:r w:rsidR="003571F5">
        <w:rPr>
          <w:rFonts w:hint="eastAsia"/>
        </w:rPr>
        <w:t>.</w:t>
      </w:r>
      <w:bookmarkStart w:id="0" w:name="_GoBack"/>
      <w:bookmarkEnd w:id="0"/>
    </w:p>
    <w:p w:rsidR="00A82FBE" w:rsidRDefault="00A82FBE">
      <w:r>
        <w:rPr>
          <w:rFonts w:hint="eastAsia"/>
        </w:rPr>
        <w:t>b. The GSEA pathway enrichment results for PTC with different recurrence risks in addition to metabolism pathways. The results for metabolism pathways were included in Fig 3e.</w:t>
      </w:r>
    </w:p>
    <w:p w:rsidR="00A82FBE" w:rsidRDefault="00A82FBE">
      <w:pPr>
        <w:widowControl/>
        <w:jc w:val="left"/>
      </w:pPr>
      <w:r>
        <w:br w:type="page"/>
      </w:r>
    </w:p>
    <w:p w:rsidR="00A82FBE" w:rsidRPr="00A82FBE" w:rsidRDefault="00A82FBE">
      <w:pPr>
        <w:rPr>
          <w:b/>
        </w:rPr>
      </w:pPr>
      <w:r w:rsidRPr="00A82FBE">
        <w:rPr>
          <w:b/>
          <w:noProof/>
        </w:rPr>
        <w:lastRenderedPageBreak/>
        <w:drawing>
          <wp:inline distT="0" distB="0" distL="0" distR="0" wp14:anchorId="03859FA1" wp14:editId="38499671">
            <wp:extent cx="5274310" cy="7136603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5 clustering 4 clusters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3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361" w:rsidRDefault="00A82FBE">
      <w:pPr>
        <w:widowControl/>
        <w:jc w:val="left"/>
        <w:rPr>
          <w:b/>
        </w:rPr>
      </w:pPr>
      <w:r w:rsidRPr="00A82FBE">
        <w:rPr>
          <w:b/>
        </w:rPr>
        <w:t>Fig S5</w:t>
      </w:r>
      <w:r>
        <w:rPr>
          <w:rFonts w:hint="eastAsia"/>
          <w:b/>
        </w:rPr>
        <w:t>.</w:t>
      </w:r>
      <w:r w:rsidRPr="00A82FBE">
        <w:rPr>
          <w:b/>
        </w:rPr>
        <w:t xml:space="preserve"> Clustering the patients based on the transcriptome and metabolome</w:t>
      </w:r>
      <w:r>
        <w:rPr>
          <w:rFonts w:hint="eastAsia"/>
          <w:b/>
        </w:rPr>
        <w:t>.</w:t>
      </w:r>
      <w:r w:rsidRPr="00A82FBE">
        <w:rPr>
          <w:b/>
        </w:rPr>
        <w:t xml:space="preserve">  </w:t>
      </w:r>
    </w:p>
    <w:p w:rsidR="009B5361" w:rsidRDefault="009B5361">
      <w:pPr>
        <w:widowControl/>
        <w:jc w:val="left"/>
      </w:pPr>
      <w:r w:rsidRPr="009B5361">
        <w:rPr>
          <w:rFonts w:hint="eastAsia"/>
        </w:rPr>
        <w:t>a.</w:t>
      </w:r>
      <w:r w:rsidR="00A82FBE" w:rsidRPr="009B5361">
        <w:t xml:space="preserve"> </w:t>
      </w:r>
      <w:r>
        <w:rPr>
          <w:rFonts w:hint="eastAsia"/>
        </w:rPr>
        <w:t>Heatmap of the sample similarity matrix.</w:t>
      </w:r>
    </w:p>
    <w:p w:rsidR="009B5361" w:rsidRDefault="009B5361">
      <w:pPr>
        <w:widowControl/>
        <w:jc w:val="left"/>
      </w:pPr>
      <w:r>
        <w:rPr>
          <w:rFonts w:hint="eastAsia"/>
        </w:rPr>
        <w:t xml:space="preserve">b. The the ratio of patients with and without ENE across the four subtypes. </w:t>
      </w:r>
    </w:p>
    <w:p w:rsidR="00A82FBE" w:rsidRPr="009B5361" w:rsidRDefault="009B5361">
      <w:pPr>
        <w:widowControl/>
        <w:jc w:val="left"/>
      </w:pPr>
      <w:r>
        <w:rPr>
          <w:rFonts w:hint="eastAsia"/>
        </w:rPr>
        <w:t>c. KM-plot of the recurrence-free survival of patients stratified as high, intermediate and low recurrence risks.</w:t>
      </w:r>
      <w:r w:rsidR="00A82FBE" w:rsidRPr="009B5361">
        <w:cr/>
      </w:r>
      <w:r w:rsidR="00A82FBE" w:rsidRPr="009B5361">
        <w:br w:type="page"/>
      </w:r>
    </w:p>
    <w:p w:rsidR="00A82FBE" w:rsidRDefault="00A82FBE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274310" cy="682942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6 diff cell in cluster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FBE" w:rsidRDefault="00A82FBE">
      <w:pPr>
        <w:rPr>
          <w:b/>
        </w:rPr>
      </w:pPr>
      <w:r>
        <w:rPr>
          <w:rFonts w:hint="eastAsia"/>
          <w:b/>
        </w:rPr>
        <w:t>Fig S6. Pathway and cellular characterization of the four re-defined sub-types.</w:t>
      </w:r>
    </w:p>
    <w:p w:rsidR="00896E5E" w:rsidRDefault="00A82FBE" w:rsidP="00896E5E">
      <w:r w:rsidRPr="00A82FBE">
        <w:rPr>
          <w:rFonts w:hint="eastAsia"/>
        </w:rPr>
        <w:t xml:space="preserve">a. </w:t>
      </w:r>
      <w:r w:rsidR="00896E5E">
        <w:rPr>
          <w:rFonts w:hint="eastAsia"/>
        </w:rPr>
        <w:t xml:space="preserve">The GSEA pathway enrichment results for differet sub-types based on transcriptomics data. The results for metabolism and immune pathways were included in Fig 6h-6i. </w:t>
      </w:r>
    </w:p>
    <w:p w:rsidR="00896E5E" w:rsidRDefault="00896E5E" w:rsidP="00896E5E">
      <w:r>
        <w:rPr>
          <w:rFonts w:hint="eastAsia"/>
        </w:rPr>
        <w:t>b. Box plot of the differential cell compositions of the four sub-types. Wilcox-Test, un-paired.</w:t>
      </w:r>
    </w:p>
    <w:p w:rsidR="00896E5E" w:rsidRDefault="00896E5E">
      <w:pPr>
        <w:widowControl/>
        <w:jc w:val="left"/>
      </w:pPr>
      <w:r>
        <w:br w:type="page"/>
      </w:r>
    </w:p>
    <w:p w:rsidR="00A82FBE" w:rsidRDefault="00896E5E">
      <w:r>
        <w:rPr>
          <w:noProof/>
        </w:rPr>
        <w:lastRenderedPageBreak/>
        <w:drawing>
          <wp:inline distT="0" distB="0" distL="0" distR="0">
            <wp:extent cx="5274310" cy="71367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7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3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E5E" w:rsidRPr="00896E5E" w:rsidRDefault="00896E5E">
      <w:pPr>
        <w:rPr>
          <w:b/>
        </w:rPr>
      </w:pPr>
      <w:r w:rsidRPr="00896E5E">
        <w:rPr>
          <w:rFonts w:hint="eastAsia"/>
          <w:b/>
        </w:rPr>
        <w:t>Fig S7. Potential targets of the four subtypes.</w:t>
      </w:r>
    </w:p>
    <w:p w:rsidR="00896E5E" w:rsidRDefault="00896E5E">
      <w:r>
        <w:rPr>
          <w:rFonts w:hint="eastAsia"/>
        </w:rPr>
        <w:t>a. Druggable targets of the four subtypes.</w:t>
      </w:r>
    </w:p>
    <w:p w:rsidR="00896E5E" w:rsidRPr="00896E5E" w:rsidRDefault="00896E5E">
      <w:r>
        <w:rPr>
          <w:rFonts w:hint="eastAsia"/>
        </w:rPr>
        <w:t>b-c. Top-ranked genes and metabolites in predicting the four-subtypes based on random forest method.</w:t>
      </w:r>
    </w:p>
    <w:sectPr w:rsidR="00896E5E" w:rsidRPr="00896E5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206"/>
    <w:rsid w:val="00042C87"/>
    <w:rsid w:val="000472AD"/>
    <w:rsid w:val="001F7F8D"/>
    <w:rsid w:val="002F1206"/>
    <w:rsid w:val="003571F5"/>
    <w:rsid w:val="004502D7"/>
    <w:rsid w:val="00824C4D"/>
    <w:rsid w:val="00896E5E"/>
    <w:rsid w:val="009B5361"/>
    <w:rsid w:val="00A82FBE"/>
    <w:rsid w:val="00B80F8B"/>
    <w:rsid w:val="00F04D15"/>
    <w:rsid w:val="00F41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42C8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42C8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42C8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42C8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5" Type="http://schemas.openxmlformats.org/officeDocument/2006/relationships/image" Target="media/image1.tiff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</Pages>
  <Words>334</Words>
  <Characters>1904</Characters>
  <Application>Microsoft Office Word</Application>
  <DocSecurity>0</DocSecurity>
  <Lines>15</Lines>
  <Paragraphs>4</Paragraphs>
  <ScaleCrop>false</ScaleCrop>
  <Company/>
  <LinksUpToDate>false</LinksUpToDate>
  <CharactersWithSpaces>2234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DiChen</dc:creator>
  <cp:lastModifiedBy>DiChen</cp:lastModifiedBy>
  <cp:revision>6</cp:revision>
  <dcterms:created xsi:type="dcterms:W3CDTF">2023-05-15T07:49:00Z</dcterms:created>
  <dcterms:modified xsi:type="dcterms:W3CDTF">2023-05-22T03:28:00Z</dcterms:modified>
</cp:coreProperties>
</file>