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73A7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Pr="009223FD">
        <w:rPr>
          <w:rFonts w:ascii="Times New Roman" w:hAnsi="Times New Roman" w:cs="Times New Roman"/>
          <w:sz w:val="24"/>
          <w:szCs w:val="24"/>
        </w:rPr>
        <w:t>. The 19-item allodynia questionnaire</w:t>
      </w:r>
    </w:p>
    <w:p w14:paraId="2A8CBF7C" w14:textId="77777777" w:rsidR="009223FD" w:rsidRPr="009223FD" w:rsidRDefault="009223FD" w:rsidP="009223FD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49ACE83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23FD">
        <w:rPr>
          <w:rFonts w:ascii="Times New Roman" w:hAnsi="Times New Roman" w:cs="Times New Roman"/>
          <w:b/>
          <w:bCs/>
          <w:i/>
          <w:sz w:val="24"/>
          <w:szCs w:val="24"/>
        </w:rPr>
        <w:t>Cutaneous allodynia</w:t>
      </w:r>
      <w:r w:rsidRPr="009223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(CA)</w:t>
      </w:r>
    </w:p>
    <w:p w14:paraId="71F168F4" w14:textId="6CF3DB13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The comprehensive migraine questionnaire proposed by Ashkenazi et al. [1]</w:t>
      </w:r>
      <w:r w:rsidRPr="009223FD">
        <w:rPr>
          <w:rFonts w:ascii="Times New Roman" w:hAnsi="Times New Roman" w:cs="Times New Roman"/>
          <w:sz w:val="24"/>
          <w:szCs w:val="24"/>
        </w:rPr>
        <w:t xml:space="preserve"> included 16 questionnaire items regarding allodynia symptoms as follows:</w:t>
      </w:r>
    </w:p>
    <w:p w14:paraId="55545219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Do you experience pain or unpleasant sensations on your skin during a migraine attack when you engage in any of the following activities? (Answer “Yes,” “No,” or “Not Applicable”): </w:t>
      </w:r>
    </w:p>
    <w:p w14:paraId="1EDE73DB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(1) Combing your hair </w:t>
      </w:r>
    </w:p>
    <w:p w14:paraId="570F6C2D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(2) Pulling your hair back (e.g., ponytail) </w:t>
      </w:r>
    </w:p>
    <w:p w14:paraId="05B5EF77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(3) Shaving your face </w:t>
      </w:r>
    </w:p>
    <w:p w14:paraId="2FB05809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(4) Wearing eyeglasses </w:t>
      </w:r>
    </w:p>
    <w:p w14:paraId="1B2E26C4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(5) Wearing contact lenses </w:t>
      </w:r>
    </w:p>
    <w:p w14:paraId="5491EA58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(6) Wearing earrings </w:t>
      </w:r>
    </w:p>
    <w:p w14:paraId="7CD81432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(7) Wearing necklaces </w:t>
      </w:r>
    </w:p>
    <w:p w14:paraId="088BC764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(8) Wearing anything tight on your head or neck (e.g., hat or scarf) </w:t>
      </w:r>
    </w:p>
    <w:p w14:paraId="756CF94D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(9) Wearing anything on your arm or wrist (e.g., bracelet or watch) </w:t>
      </w:r>
    </w:p>
    <w:p w14:paraId="70A50517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(10) Wearing a finger ring </w:t>
      </w:r>
    </w:p>
    <w:p w14:paraId="05C148F5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(11) Wearing tight clothes </w:t>
      </w:r>
    </w:p>
    <w:p w14:paraId="63188D62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(12) Being covered by a heavy blanket </w:t>
      </w:r>
    </w:p>
    <w:p w14:paraId="3FF4D326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(13) Taking a shower (</w:t>
      </w:r>
      <w:r w:rsidRPr="009223FD">
        <w:rPr>
          <w:rFonts w:ascii="Times New Roman" w:hAnsi="Times New Roman" w:cs="Times New Roman"/>
          <w:sz w:val="24"/>
          <w:szCs w:val="24"/>
        </w:rPr>
        <w:t xml:space="preserve">when shower water hits your face) </w:t>
      </w:r>
    </w:p>
    <w:p w14:paraId="2E553DE2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(14) Resting on a pillow with your face using the side of your head with the headache</w:t>
      </w:r>
    </w:p>
    <w:p w14:paraId="1733E238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(15) Being exposed to heat (e.g., cooking or placing heating pads on your face) </w:t>
      </w:r>
    </w:p>
    <w:p w14:paraId="3C7A2D06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(16) Being exposed to cold (e.g., breathing through yo</w:t>
      </w:r>
      <w:r w:rsidRPr="009223FD">
        <w:rPr>
          <w:rFonts w:ascii="Times New Roman" w:hAnsi="Times New Roman" w:cs="Times New Roman"/>
          <w:sz w:val="24"/>
          <w:szCs w:val="24"/>
        </w:rPr>
        <w:t>ur nose on a cold day or placing ice packs on your face)</w:t>
      </w:r>
    </w:p>
    <w:p w14:paraId="361E1F3D" w14:textId="4C80F2EA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lastRenderedPageBreak/>
        <w:t>Patients who responded with “Yes” to at least two of these 16 questionnaire items were defined to be allodynic [1].</w:t>
      </w:r>
    </w:p>
    <w:p w14:paraId="3CA13BC1" w14:textId="77777777" w:rsidR="009223FD" w:rsidRPr="009223FD" w:rsidRDefault="009223FD" w:rsidP="009223FD">
      <w:pPr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107E37BA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23FD">
        <w:rPr>
          <w:rFonts w:ascii="Times New Roman" w:hAnsi="Times New Roman" w:cs="Times New Roman"/>
          <w:b/>
          <w:bCs/>
          <w:i/>
          <w:sz w:val="24"/>
          <w:szCs w:val="24"/>
        </w:rPr>
        <w:t>CA subtype</w:t>
      </w:r>
    </w:p>
    <w:p w14:paraId="552CA187" w14:textId="702D6F9C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To assess CA subtype, three additional questionnaire items, which were </w:t>
      </w:r>
      <w:r w:rsidRPr="009223FD">
        <w:rPr>
          <w:rFonts w:ascii="Times New Roman" w:hAnsi="Times New Roman" w:cs="Times New Roman"/>
          <w:sz w:val="24"/>
          <w:szCs w:val="24"/>
        </w:rPr>
        <w:t xml:space="preserve">proposed by Guy et al. [2], were added as follows: </w:t>
      </w:r>
    </w:p>
    <w:p w14:paraId="2C3D9268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Do you experience pain or unpleasant sensations during a migraine attack when you engage in any of the following activities: </w:t>
      </w:r>
    </w:p>
    <w:p w14:paraId="51267BDE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(17) Taking a shower (when shower water hits your skin on areas other than the face)</w:t>
      </w:r>
    </w:p>
    <w:p w14:paraId="4C6AD68E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(18) Being exposed to heat on areas other tha</w:t>
      </w:r>
      <w:r w:rsidRPr="009223FD">
        <w:rPr>
          <w:rFonts w:ascii="Times New Roman" w:hAnsi="Times New Roman" w:cs="Times New Roman"/>
          <w:sz w:val="24"/>
          <w:szCs w:val="24"/>
        </w:rPr>
        <w:t>n the face</w:t>
      </w:r>
    </w:p>
    <w:p w14:paraId="39B5D66F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(19) Being exposed to cold on your skin on areas other than the face. </w:t>
      </w:r>
    </w:p>
    <w:p w14:paraId="0FF039CB" w14:textId="77777777" w:rsidR="009223FD" w:rsidRPr="009223FD" w:rsidRDefault="009223FD" w:rsidP="009223FD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DE5CF94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23FD">
        <w:rPr>
          <w:rFonts w:ascii="Times New Roman" w:hAnsi="Times New Roman" w:cs="Times New Roman"/>
          <w:b/>
          <w:bCs/>
          <w:i/>
          <w:sz w:val="24"/>
          <w:szCs w:val="24"/>
        </w:rPr>
        <w:t>Cephalic and extracephalic CA</w:t>
      </w:r>
    </w:p>
    <w:p w14:paraId="44592866" w14:textId="21107A84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Cephalic CA was assessed using questionnaire items (1), (2), (3), (4), (5), (6), (7), (8), (13), (14), (15), and (16). Patients who responded w</w:t>
      </w:r>
      <w:r w:rsidRPr="009223FD">
        <w:rPr>
          <w:rFonts w:ascii="Times New Roman" w:hAnsi="Times New Roman" w:cs="Times New Roman"/>
          <w:sz w:val="24"/>
          <w:szCs w:val="24"/>
        </w:rPr>
        <w:t>ith “Yes” to at least one of these questionnaire items were defined to have cephalic CA [2]. Extracephalic CA was evaluated using questionnaire items (9), (10), (11), (12), (17), (18), and (19). Patients who responded with “Yes” to at least one of these qu</w:t>
      </w:r>
      <w:r w:rsidRPr="009223FD">
        <w:rPr>
          <w:rFonts w:ascii="Times New Roman" w:hAnsi="Times New Roman" w:cs="Times New Roman"/>
          <w:sz w:val="24"/>
          <w:szCs w:val="24"/>
        </w:rPr>
        <w:t>estionnaire items were defined to have extracephalic CA [2]. </w:t>
      </w:r>
    </w:p>
    <w:p w14:paraId="2B6F9D68" w14:textId="77777777" w:rsidR="009223FD" w:rsidRPr="009223FD" w:rsidRDefault="009223FD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3F67C24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3F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Mechanical and thermal CA </w:t>
      </w:r>
    </w:p>
    <w:p w14:paraId="5205575B" w14:textId="2AC1F1F4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Mechanical CA was assessed using questionnaire items (1), (2), (4), (5), (6), (7), and (11). Patients who responded with “Yes” to at least one of these questionnaire </w:t>
      </w:r>
      <w:r w:rsidRPr="009223FD">
        <w:rPr>
          <w:rFonts w:ascii="Times New Roman" w:hAnsi="Times New Roman" w:cs="Times New Roman"/>
          <w:sz w:val="24"/>
          <w:szCs w:val="24"/>
        </w:rPr>
        <w:t>items were defined as mechanical CA [3, 4]. Thermal CA was evaluated using questionnaire items (14), (15), (16), (18), and (19). Patients representing at least one of these questionnaire items were defined as thermal CA [3, 4].</w:t>
      </w:r>
    </w:p>
    <w:p w14:paraId="31F515A7" w14:textId="77777777" w:rsidR="009223FD" w:rsidRPr="009223FD" w:rsidRDefault="009223FD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24C681C" w14:textId="77777777" w:rsidR="009223FD" w:rsidRPr="009223FD" w:rsidRDefault="004D403C" w:rsidP="009223F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23FD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6842B5BD" w14:textId="77777777" w:rsidR="009223FD" w:rsidRPr="009223FD" w:rsidRDefault="004D403C" w:rsidP="009223FD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Ashkenazi A, Silberstein S, Jakubowski M, Burstein R (2007) Improved identification of allodynic migraine patients using a questionnaire. Cephalalgia 27:325-329. https://doi.org/10.1111/j.1468-2982.2007.01291.x</w:t>
      </w:r>
    </w:p>
    <w:p w14:paraId="6242FD02" w14:textId="77777777" w:rsidR="009223FD" w:rsidRPr="009223FD" w:rsidRDefault="004D403C" w:rsidP="009223FD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Guy N, Marques AR, Orliaguet T, Lanteri-Minet</w:t>
      </w:r>
      <w:r w:rsidRPr="009223FD">
        <w:rPr>
          <w:rFonts w:ascii="Times New Roman" w:hAnsi="Times New Roman" w:cs="Times New Roman"/>
          <w:sz w:val="24"/>
          <w:szCs w:val="24"/>
        </w:rPr>
        <w:t xml:space="preserve"> M, Dallel R, Clavelou P (2010) Are there differences between cephalic and extracephalic cutaneous allodynia in migraine patients? Cephalalgia 30:881-886. https://doi.org/10.1111/j.1468-2982.2009.02008.x</w:t>
      </w:r>
    </w:p>
    <w:p w14:paraId="3EF11E67" w14:textId="77777777" w:rsidR="009223FD" w:rsidRPr="009223FD" w:rsidRDefault="004D403C" w:rsidP="009223FD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>Lipton RB, Bigal ME, Ashina S, Burstein R, Silberste</w:t>
      </w:r>
      <w:r w:rsidRPr="009223FD">
        <w:rPr>
          <w:rFonts w:ascii="Times New Roman" w:hAnsi="Times New Roman" w:cs="Times New Roman"/>
          <w:sz w:val="24"/>
          <w:szCs w:val="24"/>
        </w:rPr>
        <w:t>in S, Reed ML, Serrano D, Stewart WF, American Migraine Prevalence Prevention Advisory Group (2008) Cutaneous allodynia in the migraine population. Ann Neurol 63:148-158. https://doi.org/10.1002/ana.21211</w:t>
      </w:r>
    </w:p>
    <w:p w14:paraId="432825BE" w14:textId="77777777" w:rsidR="009223FD" w:rsidRPr="009223FD" w:rsidRDefault="004D403C" w:rsidP="009223FD">
      <w:pPr>
        <w:numPr>
          <w:ilvl w:val="0"/>
          <w:numId w:val="1"/>
        </w:numPr>
        <w:spacing w:after="0" w:line="48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9223FD">
        <w:rPr>
          <w:rFonts w:ascii="Times New Roman" w:hAnsi="Times New Roman" w:cs="Times New Roman"/>
          <w:sz w:val="24"/>
          <w:szCs w:val="24"/>
        </w:rPr>
        <w:t xml:space="preserve">Louter MA, Bosker JE, van Oosterhout WPJ, van Zwet </w:t>
      </w:r>
      <w:r w:rsidRPr="009223FD">
        <w:rPr>
          <w:rFonts w:ascii="Times New Roman" w:hAnsi="Times New Roman" w:cs="Times New Roman"/>
          <w:sz w:val="24"/>
          <w:szCs w:val="24"/>
        </w:rPr>
        <w:t>EW, Zitman FG, Ferrari MD, Terwindt GM (2013) Cutaneous allodynia as a predictor of migraine chronification. Brain 136:3489-3496. https://doi.org/10.1093/brain/awt251</w:t>
      </w:r>
    </w:p>
    <w:p w14:paraId="6C47AC09" w14:textId="77777777" w:rsidR="00E0080A" w:rsidRPr="00E712AF" w:rsidRDefault="00E0080A" w:rsidP="009223F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E0080A" w:rsidRPr="00E712AF" w:rsidSect="009223F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20A0D"/>
    <w:multiLevelType w:val="hybridMultilevel"/>
    <w:tmpl w:val="3C22453C"/>
    <w:lvl w:ilvl="0" w:tplc="BE347DE2">
      <w:start w:val="1"/>
      <w:numFmt w:val="decimal"/>
      <w:lvlText w:val="%1."/>
      <w:lvlJc w:val="left"/>
      <w:pPr>
        <w:ind w:left="1200" w:hanging="840"/>
      </w:pPr>
      <w:rPr>
        <w:rFonts w:hint="default"/>
        <w:color w:val="000000"/>
      </w:rPr>
    </w:lvl>
    <w:lvl w:ilvl="1" w:tplc="D79E6F6C" w:tentative="1">
      <w:start w:val="1"/>
      <w:numFmt w:val="lowerLetter"/>
      <w:lvlText w:val="%2."/>
      <w:lvlJc w:val="left"/>
      <w:pPr>
        <w:ind w:left="1440" w:hanging="360"/>
      </w:pPr>
    </w:lvl>
    <w:lvl w:ilvl="2" w:tplc="221CEE28" w:tentative="1">
      <w:start w:val="1"/>
      <w:numFmt w:val="lowerRoman"/>
      <w:lvlText w:val="%3."/>
      <w:lvlJc w:val="right"/>
      <w:pPr>
        <w:ind w:left="2160" w:hanging="180"/>
      </w:pPr>
    </w:lvl>
    <w:lvl w:ilvl="3" w:tplc="141E41D2" w:tentative="1">
      <w:start w:val="1"/>
      <w:numFmt w:val="decimal"/>
      <w:lvlText w:val="%4."/>
      <w:lvlJc w:val="left"/>
      <w:pPr>
        <w:ind w:left="2880" w:hanging="360"/>
      </w:pPr>
    </w:lvl>
    <w:lvl w:ilvl="4" w:tplc="652E2E08" w:tentative="1">
      <w:start w:val="1"/>
      <w:numFmt w:val="lowerLetter"/>
      <w:lvlText w:val="%5."/>
      <w:lvlJc w:val="left"/>
      <w:pPr>
        <w:ind w:left="3600" w:hanging="360"/>
      </w:pPr>
    </w:lvl>
    <w:lvl w:ilvl="5" w:tplc="59E8A1D4" w:tentative="1">
      <w:start w:val="1"/>
      <w:numFmt w:val="lowerRoman"/>
      <w:lvlText w:val="%6."/>
      <w:lvlJc w:val="right"/>
      <w:pPr>
        <w:ind w:left="4320" w:hanging="180"/>
      </w:pPr>
    </w:lvl>
    <w:lvl w:ilvl="6" w:tplc="CCD8FF72" w:tentative="1">
      <w:start w:val="1"/>
      <w:numFmt w:val="decimal"/>
      <w:lvlText w:val="%7."/>
      <w:lvlJc w:val="left"/>
      <w:pPr>
        <w:ind w:left="5040" w:hanging="360"/>
      </w:pPr>
    </w:lvl>
    <w:lvl w:ilvl="7" w:tplc="78283590" w:tentative="1">
      <w:start w:val="1"/>
      <w:numFmt w:val="lowerLetter"/>
      <w:lvlText w:val="%8."/>
      <w:lvlJc w:val="left"/>
      <w:pPr>
        <w:ind w:left="5760" w:hanging="360"/>
      </w:pPr>
    </w:lvl>
    <w:lvl w:ilvl="8" w:tplc="483694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39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FD"/>
    <w:rsid w:val="00196195"/>
    <w:rsid w:val="00220380"/>
    <w:rsid w:val="0024359F"/>
    <w:rsid w:val="002A4BBD"/>
    <w:rsid w:val="004B66E5"/>
    <w:rsid w:val="004D403C"/>
    <w:rsid w:val="007A3566"/>
    <w:rsid w:val="009223FD"/>
    <w:rsid w:val="00C27116"/>
    <w:rsid w:val="00C57BA7"/>
    <w:rsid w:val="00E0080A"/>
    <w:rsid w:val="00E7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6BD50"/>
  <w15:chartTrackingRefBased/>
  <w15:docId w15:val="{DC31DC24-438F-40FD-9F2E-A5BDF8BA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712AF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712A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nhideWhenUsed/>
    <w:rsid w:val="00922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23FD"/>
    <w:pPr>
      <w:widowControl w:val="0"/>
      <w:spacing w:after="0" w:line="240" w:lineRule="auto"/>
      <w:jc w:val="both"/>
    </w:pPr>
    <w:rPr>
      <w:sz w:val="20"/>
      <w:szCs w:val="20"/>
      <w:lang w:eastAsia="ja-JP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9223FD"/>
    <w:rPr>
      <w:rFonts w:eastAsiaTheme="minorEastAsia"/>
      <w:sz w:val="20"/>
      <w:szCs w:val="20"/>
      <w:lang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9223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3F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195"/>
    <w:pPr>
      <w:widowControl/>
      <w:spacing w:after="160"/>
      <w:jc w:val="left"/>
    </w:pPr>
    <w:rPr>
      <w:rFonts w:eastAsiaTheme="minorHAnsi"/>
      <w:b/>
      <w:bCs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195"/>
    <w:rPr>
      <w:rFonts w:eastAsiaTheme="minorEastAsia"/>
      <w:b/>
      <w:bCs/>
      <w:sz w:val="20"/>
      <w:szCs w:val="2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559</Words>
  <Characters>3059</Characters>
  <Application>Microsoft Office Word</Application>
  <DocSecurity>0</DocSecurity>
  <Lines>235</Lines>
  <Paragraphs>226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keywords>fileTagC:baf7c92eab990b479be0252b65416935bdc768eb</cp:keywords>
  <cp:lastModifiedBy>Author</cp:lastModifiedBy>
  <cp:revision>5</cp:revision>
  <dcterms:created xsi:type="dcterms:W3CDTF">2023-05-26T07:55:00Z</dcterms:created>
  <dcterms:modified xsi:type="dcterms:W3CDTF">2023-05-30T18:29:00Z</dcterms:modified>
</cp:coreProperties>
</file>