
<file path=[Content_Types].xml><?xml version="1.0" encoding="utf-8"?>
<Types xmlns="http://schemas.openxmlformats.org/package/2006/content-types">
  <Override PartName="/word/footnotes.xml" ContentType="application/vnd.openxmlformats-officedocument.wordprocessingml.footnotes+xml"/>
  <Override PartName="/word/commentsExtensible.xml" ContentType="application/vnd.openxmlformats-officedocument.wordprocessingml.commentsExtensible+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1240C" w:rsidRDefault="0081240C" w:rsidP="0081240C">
      <w:pPr>
        <w:spacing w:after="0" w:line="480" w:lineRule="auto"/>
        <w:jc w:val="center"/>
        <w:rPr>
          <w:rFonts w:ascii="Times New Roman" w:eastAsia="Calibri" w:hAnsi="Times New Roman" w:cs="Times New Roman"/>
          <w:b/>
          <w:bCs/>
          <w:iCs/>
          <w:sz w:val="24"/>
          <w:szCs w:val="23"/>
        </w:rPr>
      </w:pPr>
    </w:p>
    <w:p w:rsidR="0081240C" w:rsidRPr="00021554" w:rsidRDefault="0081240C" w:rsidP="0081240C">
      <w:pPr>
        <w:spacing w:after="0" w:line="480" w:lineRule="auto"/>
        <w:jc w:val="center"/>
        <w:rPr>
          <w:rFonts w:ascii="Times New Roman" w:eastAsia="Calibri" w:hAnsi="Times New Roman" w:cs="Times New Roman"/>
          <w:b/>
          <w:bCs/>
          <w:sz w:val="24"/>
          <w:szCs w:val="23"/>
        </w:rPr>
      </w:pPr>
      <w:r w:rsidRPr="009B6005">
        <w:rPr>
          <w:rFonts w:ascii="Times New Roman" w:eastAsia="Calibri" w:hAnsi="Times New Roman" w:cs="Times New Roman"/>
          <w:b/>
          <w:bCs/>
          <w:iCs/>
          <w:sz w:val="24"/>
          <w:szCs w:val="23"/>
        </w:rPr>
        <w:t>Ayurveda</w:t>
      </w:r>
      <w:r>
        <w:rPr>
          <w:rFonts w:ascii="Times New Roman" w:eastAsia="Calibri" w:hAnsi="Times New Roman" w:cs="Times New Roman"/>
          <w:b/>
          <w:bCs/>
          <w:iCs/>
          <w:sz w:val="24"/>
          <w:szCs w:val="23"/>
        </w:rPr>
        <w:t xml:space="preserve"> </w:t>
      </w:r>
      <w:r w:rsidRPr="00021554">
        <w:rPr>
          <w:rFonts w:ascii="Times New Roman" w:eastAsia="Calibri" w:hAnsi="Times New Roman" w:cs="Times New Roman"/>
          <w:b/>
          <w:bCs/>
          <w:sz w:val="24"/>
          <w:szCs w:val="23"/>
        </w:rPr>
        <w:t>botanicals</w:t>
      </w:r>
      <w:r>
        <w:rPr>
          <w:rFonts w:ascii="Times New Roman" w:eastAsia="Calibri" w:hAnsi="Times New Roman" w:cs="Times New Roman"/>
          <w:b/>
          <w:bCs/>
          <w:sz w:val="24"/>
          <w:szCs w:val="23"/>
        </w:rPr>
        <w:t xml:space="preserve"> </w:t>
      </w:r>
      <w:r w:rsidRPr="00021554">
        <w:rPr>
          <w:rFonts w:ascii="Times New Roman" w:eastAsia="Calibri" w:hAnsi="Times New Roman" w:cs="Times New Roman"/>
          <w:b/>
          <w:bCs/>
          <w:sz w:val="24"/>
          <w:szCs w:val="23"/>
        </w:rPr>
        <w:t xml:space="preserve">in COVID-19 management: An </w:t>
      </w:r>
      <w:r w:rsidRPr="00021554">
        <w:rPr>
          <w:rFonts w:ascii="Times New Roman" w:eastAsia="Calibri" w:hAnsi="Times New Roman" w:cs="Times New Roman"/>
          <w:b/>
          <w:bCs/>
          <w:i/>
          <w:sz w:val="24"/>
          <w:szCs w:val="23"/>
        </w:rPr>
        <w:t>in silico</w:t>
      </w:r>
      <w:r w:rsidRPr="00021554">
        <w:rPr>
          <w:rFonts w:ascii="Times New Roman" w:eastAsia="Calibri" w:hAnsi="Times New Roman" w:cs="Times New Roman"/>
          <w:b/>
          <w:bCs/>
          <w:sz w:val="24"/>
          <w:szCs w:val="23"/>
        </w:rPr>
        <w:t>- multitarget approach</w:t>
      </w:r>
    </w:p>
    <w:p w:rsidR="0081240C" w:rsidRPr="00021554" w:rsidRDefault="0081240C" w:rsidP="0081240C">
      <w:pPr>
        <w:spacing w:after="0" w:line="480" w:lineRule="auto"/>
        <w:jc w:val="both"/>
        <w:rPr>
          <w:rFonts w:ascii="Times New Roman" w:eastAsia="Calibri" w:hAnsi="Times New Roman" w:cs="Times New Roman"/>
          <w:bCs/>
          <w:sz w:val="24"/>
          <w:szCs w:val="23"/>
          <w:vertAlign w:val="superscript"/>
        </w:rPr>
      </w:pPr>
      <w:r w:rsidRPr="00021554">
        <w:rPr>
          <w:rFonts w:ascii="Times New Roman" w:eastAsia="Calibri" w:hAnsi="Times New Roman" w:cs="Times New Roman"/>
          <w:bCs/>
          <w:sz w:val="24"/>
          <w:szCs w:val="23"/>
        </w:rPr>
        <w:t>Swapnil Borse</w:t>
      </w:r>
      <w:r w:rsidRPr="00021554">
        <w:rPr>
          <w:rFonts w:ascii="Times New Roman" w:eastAsia="Calibri" w:hAnsi="Times New Roman" w:cs="Times New Roman"/>
          <w:bCs/>
          <w:sz w:val="24"/>
          <w:szCs w:val="23"/>
          <w:vertAlign w:val="superscript"/>
        </w:rPr>
        <w:t>1#</w:t>
      </w:r>
      <w:r w:rsidRPr="00021554">
        <w:rPr>
          <w:rFonts w:ascii="Times New Roman" w:eastAsia="Calibri" w:hAnsi="Times New Roman" w:cs="Times New Roman"/>
          <w:bCs/>
          <w:sz w:val="24"/>
          <w:szCs w:val="23"/>
        </w:rPr>
        <w:t>, Manali Joshi</w:t>
      </w:r>
      <w:r w:rsidRPr="00021554">
        <w:rPr>
          <w:rFonts w:ascii="Times New Roman" w:eastAsia="Calibri" w:hAnsi="Times New Roman" w:cs="Times New Roman"/>
          <w:bCs/>
          <w:sz w:val="24"/>
          <w:szCs w:val="23"/>
          <w:vertAlign w:val="superscript"/>
        </w:rPr>
        <w:t xml:space="preserve">2#$ </w:t>
      </w:r>
      <w:r w:rsidRPr="00021554">
        <w:rPr>
          <w:rFonts w:ascii="Times New Roman" w:eastAsia="Calibri" w:hAnsi="Times New Roman" w:cs="Times New Roman"/>
          <w:bCs/>
          <w:sz w:val="24"/>
          <w:szCs w:val="23"/>
        </w:rPr>
        <w:t>, Akash Saggam</w:t>
      </w:r>
      <w:r w:rsidRPr="00021554">
        <w:rPr>
          <w:rFonts w:ascii="Times New Roman" w:eastAsia="Calibri" w:hAnsi="Times New Roman" w:cs="Times New Roman"/>
          <w:bCs/>
          <w:sz w:val="24"/>
          <w:szCs w:val="23"/>
          <w:vertAlign w:val="superscript"/>
        </w:rPr>
        <w:t>1#</w:t>
      </w:r>
      <w:r w:rsidRPr="00021554">
        <w:rPr>
          <w:rFonts w:ascii="Times New Roman" w:eastAsia="Calibri" w:hAnsi="Times New Roman" w:cs="Times New Roman"/>
          <w:bCs/>
          <w:sz w:val="24"/>
          <w:szCs w:val="23"/>
        </w:rPr>
        <w:t>, Vedika Bhat</w:t>
      </w:r>
      <w:r w:rsidRPr="00021554">
        <w:rPr>
          <w:rFonts w:ascii="Times New Roman" w:eastAsia="Calibri" w:hAnsi="Times New Roman" w:cs="Times New Roman"/>
          <w:bCs/>
          <w:sz w:val="24"/>
          <w:szCs w:val="23"/>
          <w:vertAlign w:val="superscript"/>
        </w:rPr>
        <w:t>1#</w:t>
      </w:r>
      <w:r w:rsidRPr="00021554">
        <w:rPr>
          <w:rFonts w:ascii="Times New Roman" w:eastAsia="Calibri" w:hAnsi="Times New Roman" w:cs="Times New Roman"/>
          <w:bCs/>
          <w:sz w:val="24"/>
          <w:szCs w:val="23"/>
        </w:rPr>
        <w:t>, Safal Walia</w:t>
      </w:r>
      <w:r w:rsidRPr="00021554">
        <w:rPr>
          <w:rFonts w:ascii="Times New Roman" w:eastAsia="Calibri" w:hAnsi="Times New Roman" w:cs="Times New Roman"/>
          <w:bCs/>
          <w:sz w:val="24"/>
          <w:szCs w:val="23"/>
          <w:vertAlign w:val="superscript"/>
        </w:rPr>
        <w:t>2</w:t>
      </w:r>
      <w:r w:rsidRPr="00021554">
        <w:rPr>
          <w:rFonts w:ascii="Times New Roman" w:eastAsia="Calibri" w:hAnsi="Times New Roman" w:cs="Times New Roman"/>
          <w:bCs/>
          <w:sz w:val="24"/>
          <w:szCs w:val="23"/>
        </w:rPr>
        <w:t>, Sneha Sagar</w:t>
      </w:r>
      <w:r w:rsidRPr="00021554">
        <w:rPr>
          <w:rFonts w:ascii="Times New Roman" w:eastAsia="Calibri" w:hAnsi="Times New Roman" w:cs="Times New Roman"/>
          <w:bCs/>
          <w:sz w:val="24"/>
          <w:szCs w:val="23"/>
          <w:vertAlign w:val="superscript"/>
        </w:rPr>
        <w:t>3</w:t>
      </w:r>
      <w:r w:rsidRPr="00021554">
        <w:rPr>
          <w:rFonts w:ascii="Times New Roman" w:eastAsia="Calibri" w:hAnsi="Times New Roman" w:cs="Times New Roman"/>
          <w:bCs/>
          <w:sz w:val="24"/>
          <w:szCs w:val="23"/>
        </w:rPr>
        <w:t>, Preeti Chavan-Gautam</w:t>
      </w:r>
      <w:r w:rsidRPr="00021554">
        <w:rPr>
          <w:rFonts w:ascii="Times New Roman" w:eastAsia="Calibri" w:hAnsi="Times New Roman" w:cs="Times New Roman"/>
          <w:bCs/>
          <w:sz w:val="24"/>
          <w:szCs w:val="23"/>
          <w:vertAlign w:val="superscript"/>
        </w:rPr>
        <w:t>1*</w:t>
      </w:r>
      <w:r w:rsidRPr="00021554">
        <w:rPr>
          <w:rFonts w:ascii="Times New Roman" w:eastAsia="Calibri" w:hAnsi="Times New Roman" w:cs="Times New Roman"/>
          <w:bCs/>
          <w:sz w:val="24"/>
          <w:szCs w:val="23"/>
        </w:rPr>
        <w:t>, Girish Tillu</w:t>
      </w:r>
      <w:r w:rsidRPr="00021554">
        <w:rPr>
          <w:rFonts w:ascii="Times New Roman" w:eastAsia="Calibri" w:hAnsi="Times New Roman" w:cs="Times New Roman"/>
          <w:bCs/>
          <w:sz w:val="24"/>
          <w:szCs w:val="23"/>
          <w:vertAlign w:val="superscript"/>
        </w:rPr>
        <w:t>1</w:t>
      </w:r>
    </w:p>
    <w:p w:rsidR="0081240C" w:rsidRPr="00021554" w:rsidRDefault="0081240C" w:rsidP="0081240C">
      <w:pPr>
        <w:spacing w:after="0" w:line="480" w:lineRule="auto"/>
        <w:jc w:val="both"/>
        <w:rPr>
          <w:rFonts w:ascii="Times New Roman" w:eastAsia="Calibri" w:hAnsi="Times New Roman" w:cs="Times New Roman"/>
          <w:bCs/>
          <w:sz w:val="24"/>
          <w:szCs w:val="23"/>
        </w:rPr>
      </w:pPr>
      <w:r w:rsidRPr="00021554">
        <w:rPr>
          <w:rFonts w:ascii="Times New Roman" w:eastAsia="Calibri" w:hAnsi="Times New Roman" w:cs="Times New Roman"/>
          <w:bCs/>
          <w:sz w:val="24"/>
          <w:szCs w:val="23"/>
          <w:vertAlign w:val="superscript"/>
        </w:rPr>
        <w:t>1</w:t>
      </w:r>
      <w:r w:rsidRPr="00021554">
        <w:rPr>
          <w:rFonts w:ascii="Times New Roman" w:eastAsia="Calibri" w:hAnsi="Times New Roman" w:cs="Times New Roman"/>
          <w:bCs/>
          <w:sz w:val="24"/>
          <w:szCs w:val="23"/>
        </w:rPr>
        <w:t>AYUSH-Center of Excellence, Center for Complementary and Integrative Health, Interdisciplinary School of Health Sciences, Savitribai Phule Pune University, Pune - 411 007</w:t>
      </w:r>
    </w:p>
    <w:p w:rsidR="0081240C" w:rsidRPr="00021554" w:rsidRDefault="0081240C" w:rsidP="0081240C">
      <w:pPr>
        <w:spacing w:after="0" w:line="480" w:lineRule="auto"/>
        <w:jc w:val="both"/>
        <w:rPr>
          <w:rFonts w:ascii="Times New Roman" w:eastAsia="Calibri" w:hAnsi="Times New Roman" w:cs="Times New Roman"/>
          <w:bCs/>
          <w:sz w:val="24"/>
          <w:szCs w:val="23"/>
        </w:rPr>
      </w:pPr>
      <w:r w:rsidRPr="00021554">
        <w:rPr>
          <w:rFonts w:ascii="Times New Roman" w:eastAsia="Calibri" w:hAnsi="Times New Roman" w:cs="Times New Roman"/>
          <w:bCs/>
          <w:sz w:val="24"/>
          <w:szCs w:val="23"/>
          <w:vertAlign w:val="superscript"/>
        </w:rPr>
        <w:t>2</w:t>
      </w:r>
      <w:r w:rsidRPr="00021554">
        <w:rPr>
          <w:rFonts w:ascii="Times New Roman" w:eastAsia="Calibri" w:hAnsi="Times New Roman" w:cs="Times New Roman"/>
          <w:bCs/>
          <w:sz w:val="24"/>
          <w:szCs w:val="23"/>
        </w:rPr>
        <w:t>Bioinformatics Center, Savitribai Phule Pune University, Pune - 411 007</w:t>
      </w:r>
    </w:p>
    <w:p w:rsidR="0081240C" w:rsidRPr="00021554" w:rsidRDefault="0081240C" w:rsidP="0081240C">
      <w:pPr>
        <w:spacing w:after="0" w:line="480" w:lineRule="auto"/>
        <w:jc w:val="both"/>
        <w:rPr>
          <w:rFonts w:ascii="Times New Roman" w:eastAsia="Calibri" w:hAnsi="Times New Roman" w:cs="Times New Roman"/>
          <w:bCs/>
          <w:sz w:val="24"/>
          <w:szCs w:val="23"/>
        </w:rPr>
      </w:pPr>
      <w:r w:rsidRPr="00021554">
        <w:rPr>
          <w:rFonts w:ascii="Times New Roman" w:eastAsia="Calibri" w:hAnsi="Times New Roman" w:cs="Times New Roman"/>
          <w:bCs/>
          <w:sz w:val="24"/>
          <w:szCs w:val="23"/>
          <w:vertAlign w:val="superscript"/>
        </w:rPr>
        <w:t>3</w:t>
      </w:r>
      <w:r w:rsidRPr="00021554">
        <w:rPr>
          <w:rFonts w:ascii="Times New Roman" w:eastAsia="Calibri" w:hAnsi="Times New Roman" w:cs="Times New Roman"/>
          <w:bCs/>
          <w:sz w:val="24"/>
          <w:szCs w:val="23"/>
        </w:rPr>
        <w:t>Department of Pharmaceutical Chemistry, L.J. Institute of Pharmacy, Sarkhej, Ahmedabad - 382210</w:t>
      </w:r>
    </w:p>
    <w:p w:rsidR="0081240C" w:rsidRPr="00021554" w:rsidRDefault="0081240C" w:rsidP="0081240C">
      <w:pPr>
        <w:spacing w:after="0" w:line="480" w:lineRule="auto"/>
        <w:jc w:val="center"/>
        <w:rPr>
          <w:rFonts w:ascii="Times New Roman" w:eastAsia="Calibri" w:hAnsi="Times New Roman" w:cs="Times New Roman"/>
          <w:bCs/>
          <w:sz w:val="24"/>
          <w:szCs w:val="23"/>
        </w:rPr>
      </w:pPr>
    </w:p>
    <w:p w:rsidR="0081240C" w:rsidRPr="00021554" w:rsidRDefault="0081240C" w:rsidP="0081240C">
      <w:pPr>
        <w:spacing w:after="0" w:line="480" w:lineRule="auto"/>
        <w:jc w:val="both"/>
        <w:rPr>
          <w:rFonts w:ascii="Times New Roman" w:eastAsia="Calibri" w:hAnsi="Times New Roman" w:cs="Times New Roman"/>
          <w:bCs/>
          <w:sz w:val="24"/>
          <w:szCs w:val="23"/>
        </w:rPr>
      </w:pPr>
      <w:r w:rsidRPr="00021554">
        <w:rPr>
          <w:rFonts w:ascii="Times New Roman" w:eastAsia="Calibri" w:hAnsi="Times New Roman" w:cs="Times New Roman"/>
          <w:bCs/>
          <w:sz w:val="24"/>
          <w:szCs w:val="23"/>
          <w:vertAlign w:val="superscript"/>
        </w:rPr>
        <w:t>#</w:t>
      </w:r>
      <w:r w:rsidRPr="00021554">
        <w:rPr>
          <w:rFonts w:ascii="Times New Roman" w:eastAsia="Calibri" w:hAnsi="Times New Roman" w:cs="Times New Roman"/>
          <w:bCs/>
          <w:sz w:val="24"/>
          <w:szCs w:val="23"/>
        </w:rPr>
        <w:t>Authors have equal contribution</w:t>
      </w:r>
    </w:p>
    <w:p w:rsidR="0081240C" w:rsidRPr="00021554" w:rsidRDefault="0081240C" w:rsidP="0081240C">
      <w:pPr>
        <w:spacing w:after="0" w:line="480" w:lineRule="auto"/>
        <w:jc w:val="both"/>
      </w:pPr>
      <w:r w:rsidRPr="00021554">
        <w:rPr>
          <w:rFonts w:ascii="Times New Roman" w:eastAsia="Calibri" w:hAnsi="Times New Roman" w:cs="Times New Roman"/>
          <w:bCs/>
          <w:sz w:val="24"/>
          <w:szCs w:val="23"/>
        </w:rPr>
        <w:t>*Corresponding author: Preeti Chavan-Gautam; E-mail:</w:t>
      </w:r>
      <w:hyperlink r:id="rId8" w:history="1">
        <w:r w:rsidRPr="00021554">
          <w:rPr>
            <w:rFonts w:ascii="Times New Roman" w:eastAsia="Calibri" w:hAnsi="Times New Roman" w:cs="Times New Roman"/>
            <w:bCs/>
            <w:color w:val="0000FF"/>
            <w:sz w:val="24"/>
            <w:u w:val="single"/>
          </w:rPr>
          <w:t>chavanpriti@gmail.com</w:t>
        </w:r>
      </w:hyperlink>
    </w:p>
    <w:p w:rsidR="0081240C" w:rsidRPr="00021554" w:rsidRDefault="0081240C" w:rsidP="0081240C">
      <w:pPr>
        <w:spacing w:after="0" w:line="480" w:lineRule="auto"/>
        <w:jc w:val="both"/>
        <w:rPr>
          <w:rFonts w:ascii="Times New Roman" w:eastAsia="Calibri" w:hAnsi="Times New Roman" w:cs="Times New Roman"/>
          <w:bCs/>
          <w:color w:val="0000FF"/>
          <w:sz w:val="24"/>
          <w:u w:val="single"/>
        </w:rPr>
      </w:pPr>
      <w:r w:rsidRPr="00021554">
        <w:rPr>
          <w:rFonts w:ascii="Times New Roman" w:eastAsia="Calibri" w:hAnsi="Times New Roman" w:cs="Times New Roman"/>
          <w:bCs/>
          <w:sz w:val="24"/>
          <w:szCs w:val="23"/>
          <w:vertAlign w:val="superscript"/>
        </w:rPr>
        <w:t>$</w:t>
      </w:r>
      <w:r w:rsidRPr="00021554">
        <w:rPr>
          <w:rFonts w:ascii="Times New Roman" w:eastAsia="Calibri" w:hAnsi="Times New Roman" w:cs="Times New Roman"/>
          <w:bCs/>
          <w:sz w:val="24"/>
          <w:szCs w:val="23"/>
        </w:rPr>
        <w:t xml:space="preserve">Corresponding author for molecular docking studies: Manali Joshi; E-mail: </w:t>
      </w:r>
      <w:r w:rsidRPr="00021554">
        <w:rPr>
          <w:rFonts w:ascii="Times New Roman" w:eastAsia="Calibri" w:hAnsi="Times New Roman" w:cs="Times New Roman"/>
          <w:bCs/>
          <w:color w:val="0000FF"/>
          <w:sz w:val="24"/>
          <w:u w:val="single"/>
        </w:rPr>
        <w:t>manali.joshi@gmail.com</w:t>
      </w:r>
    </w:p>
    <w:p w:rsidR="0081240C" w:rsidRPr="00021554" w:rsidRDefault="0081240C" w:rsidP="0081240C">
      <w:pPr>
        <w:spacing w:after="120" w:line="480" w:lineRule="auto"/>
        <w:jc w:val="both"/>
        <w:rPr>
          <w:rFonts w:ascii="Times New Roman" w:eastAsia="Calibri" w:hAnsi="Times New Roman" w:cs="Times New Roman"/>
          <w:b/>
          <w:bCs/>
          <w:sz w:val="24"/>
          <w:szCs w:val="23"/>
        </w:rPr>
      </w:pPr>
    </w:p>
    <w:p w:rsidR="0081240C" w:rsidRPr="00021554" w:rsidRDefault="0081240C" w:rsidP="0081240C">
      <w:pPr>
        <w:spacing w:after="120" w:line="480" w:lineRule="auto"/>
        <w:jc w:val="both"/>
        <w:rPr>
          <w:rFonts w:ascii="Times New Roman" w:eastAsia="Calibri" w:hAnsi="Times New Roman" w:cs="Times New Roman"/>
          <w:b/>
          <w:bCs/>
          <w:sz w:val="24"/>
          <w:szCs w:val="23"/>
        </w:rPr>
      </w:pPr>
      <w:r w:rsidRPr="00021554">
        <w:rPr>
          <w:rFonts w:ascii="Times New Roman" w:eastAsia="Calibri" w:hAnsi="Times New Roman" w:cs="Times New Roman"/>
          <w:b/>
          <w:bCs/>
          <w:sz w:val="24"/>
          <w:szCs w:val="23"/>
        </w:rPr>
        <w:t xml:space="preserve">Short Title: Ayurvedic </w:t>
      </w:r>
      <w:r w:rsidRPr="00021554">
        <w:rPr>
          <w:rFonts w:ascii="Times New Roman" w:eastAsia="Calibri" w:hAnsi="Times New Roman" w:cs="Times New Roman"/>
          <w:b/>
          <w:bCs/>
          <w:i/>
          <w:sz w:val="24"/>
          <w:szCs w:val="23"/>
        </w:rPr>
        <w:t>Rasayana</w:t>
      </w:r>
      <w:r w:rsidRPr="00021554">
        <w:rPr>
          <w:rFonts w:ascii="Times New Roman" w:eastAsia="Calibri" w:hAnsi="Times New Roman" w:cs="Times New Roman"/>
          <w:b/>
          <w:bCs/>
          <w:sz w:val="24"/>
          <w:szCs w:val="23"/>
        </w:rPr>
        <w:t xml:space="preserve"> Botanicals for COVID-19 Management</w:t>
      </w:r>
    </w:p>
    <w:p w:rsidR="0081240C" w:rsidRPr="00021554" w:rsidRDefault="0081240C" w:rsidP="0081240C">
      <w:pPr>
        <w:spacing w:after="120" w:line="480" w:lineRule="auto"/>
        <w:jc w:val="both"/>
        <w:rPr>
          <w:rFonts w:ascii="Times New Roman" w:eastAsia="Calibri" w:hAnsi="Times New Roman" w:cs="Times New Roman"/>
          <w:b/>
          <w:bCs/>
          <w:sz w:val="24"/>
          <w:szCs w:val="23"/>
        </w:rPr>
      </w:pPr>
    </w:p>
    <w:p w:rsidR="0081240C" w:rsidRPr="00021554" w:rsidRDefault="0081240C" w:rsidP="0081240C">
      <w:pPr>
        <w:spacing w:after="120" w:line="480" w:lineRule="auto"/>
        <w:jc w:val="both"/>
        <w:rPr>
          <w:rFonts w:ascii="Times New Roman" w:eastAsia="Calibri" w:hAnsi="Times New Roman" w:cs="Times New Roman"/>
          <w:b/>
          <w:bCs/>
          <w:sz w:val="24"/>
          <w:szCs w:val="23"/>
        </w:rPr>
      </w:pPr>
    </w:p>
    <w:p w:rsidR="0081240C" w:rsidRPr="00021554" w:rsidRDefault="0081240C" w:rsidP="0081240C">
      <w:pPr>
        <w:spacing w:after="120" w:line="480" w:lineRule="auto"/>
        <w:jc w:val="both"/>
        <w:rPr>
          <w:rFonts w:ascii="Times New Roman" w:eastAsia="Calibri" w:hAnsi="Times New Roman" w:cs="Times New Roman"/>
          <w:b/>
          <w:bCs/>
          <w:sz w:val="24"/>
          <w:szCs w:val="23"/>
        </w:rPr>
      </w:pPr>
    </w:p>
    <w:p w:rsidR="0081240C" w:rsidRPr="00021554" w:rsidRDefault="0081240C" w:rsidP="0081240C">
      <w:pPr>
        <w:spacing w:after="120" w:line="480" w:lineRule="auto"/>
        <w:jc w:val="both"/>
        <w:rPr>
          <w:rFonts w:ascii="Times New Roman" w:eastAsia="Calibri" w:hAnsi="Times New Roman" w:cs="Times New Roman"/>
          <w:b/>
          <w:bCs/>
          <w:sz w:val="24"/>
          <w:szCs w:val="23"/>
        </w:rPr>
      </w:pPr>
    </w:p>
    <w:p w:rsidR="0081240C" w:rsidRPr="00021554" w:rsidRDefault="0081240C" w:rsidP="0081240C">
      <w:pPr>
        <w:spacing w:after="120" w:line="480" w:lineRule="auto"/>
        <w:jc w:val="both"/>
        <w:rPr>
          <w:rFonts w:ascii="Times New Roman" w:eastAsia="Calibri" w:hAnsi="Times New Roman" w:cs="Times New Roman"/>
          <w:b/>
          <w:bCs/>
          <w:sz w:val="24"/>
          <w:szCs w:val="23"/>
        </w:rPr>
      </w:pPr>
    </w:p>
    <w:p w:rsidR="0081240C" w:rsidRPr="00021554" w:rsidRDefault="0081240C" w:rsidP="0081240C">
      <w:pPr>
        <w:spacing w:after="120" w:line="480" w:lineRule="auto"/>
        <w:jc w:val="both"/>
        <w:rPr>
          <w:rFonts w:ascii="Times New Roman" w:eastAsia="Calibri" w:hAnsi="Times New Roman" w:cs="Times New Roman"/>
          <w:b/>
          <w:bCs/>
          <w:sz w:val="24"/>
          <w:szCs w:val="23"/>
        </w:rPr>
      </w:pPr>
    </w:p>
    <w:p w:rsidR="0081240C" w:rsidRPr="00021554" w:rsidRDefault="0081240C" w:rsidP="0081240C">
      <w:pPr>
        <w:spacing w:after="120" w:line="480" w:lineRule="auto"/>
        <w:jc w:val="both"/>
        <w:rPr>
          <w:rFonts w:ascii="Times New Roman" w:eastAsia="Calibri" w:hAnsi="Times New Roman" w:cs="Times New Roman"/>
          <w:b/>
          <w:bCs/>
          <w:sz w:val="24"/>
          <w:szCs w:val="23"/>
        </w:rPr>
      </w:pPr>
    </w:p>
    <w:p w:rsidR="0081240C" w:rsidRDefault="0081240C" w:rsidP="00A97D0D">
      <w:pPr>
        <w:jc w:val="both"/>
        <w:rPr>
          <w:rFonts w:ascii="Times New Roman" w:hAnsi="Times New Roman" w:cs="Times New Roman"/>
          <w:b/>
          <w:sz w:val="24"/>
          <w:szCs w:val="24"/>
        </w:rPr>
        <w:sectPr w:rsidR="0081240C" w:rsidSect="0081240C">
          <w:pgSz w:w="11906" w:h="16838"/>
          <w:pgMar w:top="1440" w:right="1440" w:bottom="1440" w:left="1440" w:header="709" w:footer="709" w:gutter="0"/>
          <w:cols w:space="708"/>
          <w:docGrid w:linePitch="360"/>
        </w:sectPr>
      </w:pPr>
    </w:p>
    <w:p w:rsidR="00A97D0D" w:rsidRPr="00C303C7" w:rsidRDefault="007E2E44" w:rsidP="00A97D0D">
      <w:pPr>
        <w:jc w:val="both"/>
        <w:rPr>
          <w:rFonts w:ascii="Times New Roman" w:hAnsi="Times New Roman" w:cs="Times New Roman"/>
          <w:b/>
          <w:sz w:val="24"/>
          <w:szCs w:val="24"/>
        </w:rPr>
      </w:pPr>
      <w:r w:rsidRPr="00C303C7">
        <w:rPr>
          <w:rFonts w:ascii="Times New Roman" w:hAnsi="Times New Roman" w:cs="Times New Roman"/>
          <w:b/>
          <w:sz w:val="24"/>
          <w:szCs w:val="24"/>
        </w:rPr>
        <w:lastRenderedPageBreak/>
        <w:t>S3Table</w:t>
      </w:r>
      <w:r w:rsidR="00A97D0D" w:rsidRPr="00C303C7">
        <w:rPr>
          <w:rFonts w:ascii="Times New Roman" w:hAnsi="Times New Roman" w:cs="Times New Roman"/>
          <w:b/>
          <w:sz w:val="24"/>
          <w:szCs w:val="24"/>
        </w:rPr>
        <w:t xml:space="preserve">: Pharmacokinetic data of WHO solidarity trial drugs and commonly prescribed drugs for hypertension, asthma and T2DM. </w:t>
      </w:r>
    </w:p>
    <w:tbl>
      <w:tblPr>
        <w:tblStyle w:val="TableGrid"/>
        <w:tblW w:w="0" w:type="auto"/>
        <w:tblLayout w:type="fixed"/>
        <w:tblLook w:val="04A0"/>
      </w:tblPr>
      <w:tblGrid>
        <w:gridCol w:w="1012"/>
        <w:gridCol w:w="2498"/>
        <w:gridCol w:w="1560"/>
        <w:gridCol w:w="992"/>
        <w:gridCol w:w="1559"/>
        <w:gridCol w:w="2181"/>
        <w:gridCol w:w="1097"/>
        <w:gridCol w:w="933"/>
        <w:gridCol w:w="1460"/>
        <w:gridCol w:w="882"/>
      </w:tblGrid>
      <w:tr w:rsidR="00A97D0D" w:rsidRPr="00490E09" w:rsidTr="00834DDA">
        <w:trPr>
          <w:cantSplit/>
          <w:trHeight w:val="1134"/>
        </w:trPr>
        <w:tc>
          <w:tcPr>
            <w:tcW w:w="1012" w:type="dxa"/>
          </w:tcPr>
          <w:p w:rsidR="00A97D0D" w:rsidRPr="00490E09" w:rsidRDefault="00A97D0D" w:rsidP="00D70DDC">
            <w:pPr>
              <w:tabs>
                <w:tab w:val="left" w:pos="625"/>
              </w:tabs>
              <w:rPr>
                <w:rFonts w:ascii="Times New Roman" w:hAnsi="Times New Roman" w:cs="Times New Roman"/>
                <w:sz w:val="24"/>
                <w:szCs w:val="24"/>
              </w:rPr>
            </w:pPr>
            <w:r w:rsidRPr="00490E09">
              <w:rPr>
                <w:rFonts w:ascii="Times New Roman" w:hAnsi="Times New Roman" w:cs="Times New Roman"/>
                <w:sz w:val="24"/>
                <w:szCs w:val="24"/>
              </w:rPr>
              <w:t>Drug category</w:t>
            </w:r>
          </w:p>
        </w:tc>
        <w:tc>
          <w:tcPr>
            <w:tcW w:w="2498" w:type="dxa"/>
          </w:tcPr>
          <w:p w:rsidR="00A97D0D" w:rsidRPr="00490E09" w:rsidRDefault="00A97D0D" w:rsidP="00D70DDC">
            <w:pPr>
              <w:rPr>
                <w:rFonts w:ascii="Times New Roman" w:hAnsi="Times New Roman" w:cs="Times New Roman"/>
                <w:sz w:val="24"/>
                <w:szCs w:val="24"/>
              </w:rPr>
            </w:pPr>
            <w:r w:rsidRPr="00490E09">
              <w:rPr>
                <w:rFonts w:ascii="Times New Roman" w:hAnsi="Times New Roman" w:cs="Times New Roman"/>
                <w:sz w:val="24"/>
                <w:szCs w:val="24"/>
              </w:rPr>
              <w:t>Name of drug</w:t>
            </w:r>
          </w:p>
        </w:tc>
        <w:tc>
          <w:tcPr>
            <w:tcW w:w="1560" w:type="dxa"/>
          </w:tcPr>
          <w:p w:rsidR="00A97D0D" w:rsidRPr="00490E09" w:rsidRDefault="00A97D0D" w:rsidP="00D70DDC">
            <w:pPr>
              <w:rPr>
                <w:rFonts w:ascii="Times New Roman" w:hAnsi="Times New Roman" w:cs="Times New Roman"/>
                <w:sz w:val="24"/>
                <w:szCs w:val="24"/>
              </w:rPr>
            </w:pPr>
            <w:r w:rsidRPr="00490E09">
              <w:rPr>
                <w:rFonts w:ascii="Times New Roman" w:hAnsi="Times New Roman" w:cs="Times New Roman"/>
                <w:sz w:val="24"/>
                <w:szCs w:val="24"/>
              </w:rPr>
              <w:t>Bioavailability</w:t>
            </w:r>
          </w:p>
          <w:p w:rsidR="00A97D0D" w:rsidRPr="00490E09" w:rsidRDefault="00A97D0D" w:rsidP="00D70DDC">
            <w:pPr>
              <w:rPr>
                <w:rFonts w:ascii="Times New Roman" w:hAnsi="Times New Roman" w:cs="Times New Roman"/>
                <w:sz w:val="24"/>
                <w:szCs w:val="24"/>
              </w:rPr>
            </w:pPr>
            <w:r w:rsidRPr="00490E09">
              <w:rPr>
                <w:rFonts w:ascii="Times New Roman" w:hAnsi="Times New Roman" w:cs="Times New Roman"/>
                <w:sz w:val="24"/>
                <w:szCs w:val="24"/>
              </w:rPr>
              <w:t>(%)</w:t>
            </w:r>
          </w:p>
        </w:tc>
        <w:tc>
          <w:tcPr>
            <w:tcW w:w="992" w:type="dxa"/>
          </w:tcPr>
          <w:p w:rsidR="00A97D0D" w:rsidRPr="00490E09" w:rsidRDefault="00A97D0D" w:rsidP="00D70DDC">
            <w:pPr>
              <w:rPr>
                <w:rFonts w:ascii="Times New Roman" w:hAnsi="Times New Roman" w:cs="Times New Roman"/>
                <w:sz w:val="24"/>
                <w:szCs w:val="24"/>
              </w:rPr>
            </w:pPr>
            <w:r w:rsidRPr="00490E09">
              <w:rPr>
                <w:rFonts w:ascii="Times New Roman" w:hAnsi="Times New Roman" w:cs="Times New Roman"/>
                <w:sz w:val="24"/>
                <w:szCs w:val="24"/>
              </w:rPr>
              <w:t>PPB</w:t>
            </w:r>
          </w:p>
          <w:p w:rsidR="00A97D0D" w:rsidRPr="00490E09" w:rsidRDefault="00A97D0D" w:rsidP="00D70DDC">
            <w:pPr>
              <w:rPr>
                <w:rFonts w:ascii="Times New Roman" w:hAnsi="Times New Roman" w:cs="Times New Roman"/>
                <w:sz w:val="24"/>
                <w:szCs w:val="24"/>
              </w:rPr>
            </w:pPr>
            <w:r w:rsidRPr="00490E09">
              <w:rPr>
                <w:rFonts w:ascii="Times New Roman" w:hAnsi="Times New Roman" w:cs="Times New Roman"/>
                <w:sz w:val="24"/>
                <w:szCs w:val="24"/>
              </w:rPr>
              <w:t>(%)</w:t>
            </w:r>
          </w:p>
        </w:tc>
        <w:tc>
          <w:tcPr>
            <w:tcW w:w="1559" w:type="dxa"/>
          </w:tcPr>
          <w:p w:rsidR="00A97D0D" w:rsidRPr="00490E09" w:rsidRDefault="00A97D0D" w:rsidP="00D70DDC">
            <w:pPr>
              <w:rPr>
                <w:rFonts w:ascii="Times New Roman" w:hAnsi="Times New Roman" w:cs="Times New Roman"/>
                <w:sz w:val="24"/>
                <w:szCs w:val="24"/>
              </w:rPr>
            </w:pPr>
            <w:r w:rsidRPr="00490E09">
              <w:rPr>
                <w:rFonts w:ascii="Times New Roman" w:hAnsi="Times New Roman" w:cs="Times New Roman"/>
                <w:sz w:val="24"/>
                <w:szCs w:val="24"/>
              </w:rPr>
              <w:t>Peak plasma concentration</w:t>
            </w:r>
          </w:p>
          <w:p w:rsidR="00A97D0D" w:rsidRPr="00490E09" w:rsidRDefault="00A97D0D" w:rsidP="00D70DDC">
            <w:pPr>
              <w:rPr>
                <w:rFonts w:ascii="Times New Roman" w:hAnsi="Times New Roman" w:cs="Times New Roman"/>
                <w:sz w:val="24"/>
                <w:szCs w:val="24"/>
              </w:rPr>
            </w:pPr>
            <w:r w:rsidRPr="00490E09">
              <w:rPr>
                <w:rFonts w:ascii="Times New Roman" w:hAnsi="Times New Roman" w:cs="Times New Roman"/>
                <w:sz w:val="24"/>
                <w:szCs w:val="24"/>
              </w:rPr>
              <w:t>(C</w:t>
            </w:r>
            <w:r w:rsidRPr="00490E09">
              <w:rPr>
                <w:rFonts w:ascii="Times New Roman" w:hAnsi="Times New Roman" w:cs="Times New Roman"/>
                <w:sz w:val="24"/>
                <w:szCs w:val="24"/>
                <w:vertAlign w:val="subscript"/>
              </w:rPr>
              <w:t>max</w:t>
            </w:r>
            <w:r w:rsidRPr="00490E09">
              <w:rPr>
                <w:rFonts w:ascii="Times New Roman" w:hAnsi="Times New Roman" w:cs="Times New Roman"/>
                <w:sz w:val="24"/>
                <w:szCs w:val="24"/>
              </w:rPr>
              <w:t>)</w:t>
            </w:r>
          </w:p>
        </w:tc>
        <w:tc>
          <w:tcPr>
            <w:tcW w:w="2181" w:type="dxa"/>
          </w:tcPr>
          <w:p w:rsidR="00A97D0D" w:rsidRPr="00490E09" w:rsidRDefault="00A97D0D" w:rsidP="00D70DDC">
            <w:pPr>
              <w:rPr>
                <w:rFonts w:ascii="Times New Roman" w:hAnsi="Times New Roman" w:cs="Times New Roman"/>
                <w:sz w:val="24"/>
                <w:szCs w:val="24"/>
              </w:rPr>
            </w:pPr>
            <w:r w:rsidRPr="00490E09">
              <w:rPr>
                <w:rFonts w:ascii="Times New Roman" w:hAnsi="Times New Roman" w:cs="Times New Roman"/>
                <w:sz w:val="24"/>
                <w:szCs w:val="24"/>
              </w:rPr>
              <w:t>Mini. Effec.</w:t>
            </w:r>
          </w:p>
          <w:p w:rsidR="00A97D0D" w:rsidRPr="00490E09" w:rsidRDefault="00A97D0D" w:rsidP="00D70DDC">
            <w:pPr>
              <w:rPr>
                <w:rFonts w:ascii="Times New Roman" w:hAnsi="Times New Roman" w:cs="Times New Roman"/>
                <w:sz w:val="24"/>
                <w:szCs w:val="24"/>
              </w:rPr>
            </w:pPr>
            <w:r w:rsidRPr="00490E09">
              <w:rPr>
                <w:rFonts w:ascii="Times New Roman" w:hAnsi="Times New Roman" w:cs="Times New Roman"/>
                <w:sz w:val="24"/>
                <w:szCs w:val="24"/>
              </w:rPr>
              <w:t>Conc for SARS-nCOV2</w:t>
            </w:r>
          </w:p>
        </w:tc>
        <w:tc>
          <w:tcPr>
            <w:tcW w:w="1097" w:type="dxa"/>
          </w:tcPr>
          <w:p w:rsidR="00A97D0D" w:rsidRPr="00490E09" w:rsidRDefault="00A97D0D" w:rsidP="00D70DDC">
            <w:pPr>
              <w:rPr>
                <w:rFonts w:ascii="Times New Roman" w:hAnsi="Times New Roman" w:cs="Times New Roman"/>
                <w:sz w:val="24"/>
                <w:szCs w:val="24"/>
              </w:rPr>
            </w:pPr>
            <w:r w:rsidRPr="00490E09">
              <w:rPr>
                <w:rFonts w:ascii="Times New Roman" w:hAnsi="Times New Roman" w:cs="Times New Roman"/>
                <w:sz w:val="24"/>
                <w:szCs w:val="24"/>
              </w:rPr>
              <w:t>Clearance rate</w:t>
            </w:r>
          </w:p>
        </w:tc>
        <w:tc>
          <w:tcPr>
            <w:tcW w:w="933" w:type="dxa"/>
          </w:tcPr>
          <w:p w:rsidR="00A97D0D" w:rsidRPr="00490E09" w:rsidRDefault="00A97D0D" w:rsidP="00D70DDC">
            <w:pPr>
              <w:rPr>
                <w:rFonts w:ascii="Times New Roman" w:hAnsi="Times New Roman" w:cs="Times New Roman"/>
                <w:sz w:val="24"/>
                <w:szCs w:val="24"/>
              </w:rPr>
            </w:pPr>
            <w:r w:rsidRPr="00490E09">
              <w:rPr>
                <w:rFonts w:ascii="Times New Roman" w:eastAsia="Times New Roman" w:hAnsi="Times New Roman" w:cs="Times New Roman"/>
                <w:color w:val="000000"/>
                <w:sz w:val="24"/>
                <w:szCs w:val="24"/>
              </w:rPr>
              <w:t>t</w:t>
            </w:r>
            <w:r w:rsidRPr="00490E09">
              <w:rPr>
                <w:rFonts w:ascii="Times New Roman" w:eastAsia="Times New Roman" w:hAnsi="Times New Roman" w:cs="Times New Roman"/>
                <w:color w:val="000000"/>
                <w:sz w:val="24"/>
                <w:szCs w:val="24"/>
                <w:vertAlign w:val="subscript"/>
              </w:rPr>
              <w:t>1/2</w:t>
            </w:r>
          </w:p>
        </w:tc>
        <w:tc>
          <w:tcPr>
            <w:tcW w:w="1460" w:type="dxa"/>
          </w:tcPr>
          <w:p w:rsidR="00A97D0D" w:rsidRPr="00490E09" w:rsidRDefault="00A97D0D" w:rsidP="00D70DDC">
            <w:pPr>
              <w:rPr>
                <w:rFonts w:ascii="Times New Roman" w:hAnsi="Times New Roman" w:cs="Times New Roman"/>
                <w:sz w:val="24"/>
                <w:szCs w:val="24"/>
              </w:rPr>
            </w:pPr>
            <w:r w:rsidRPr="00490E09">
              <w:rPr>
                <w:rFonts w:ascii="Times New Roman" w:hAnsi="Times New Roman" w:cs="Times New Roman"/>
                <w:sz w:val="24"/>
                <w:szCs w:val="24"/>
              </w:rPr>
              <w:t>Associated CYP enzyme</w:t>
            </w:r>
          </w:p>
        </w:tc>
        <w:tc>
          <w:tcPr>
            <w:tcW w:w="882" w:type="dxa"/>
          </w:tcPr>
          <w:p w:rsidR="00A97D0D" w:rsidRPr="00490E09" w:rsidRDefault="00A97D0D" w:rsidP="00D70DDC">
            <w:pPr>
              <w:rPr>
                <w:rFonts w:ascii="Times New Roman" w:hAnsi="Times New Roman" w:cs="Times New Roman"/>
                <w:sz w:val="24"/>
                <w:szCs w:val="24"/>
              </w:rPr>
            </w:pPr>
            <w:r w:rsidRPr="00490E09">
              <w:rPr>
                <w:rFonts w:ascii="Times New Roman" w:hAnsi="Times New Roman" w:cs="Times New Roman"/>
                <w:sz w:val="24"/>
                <w:szCs w:val="24"/>
              </w:rPr>
              <w:t>IC50 value for</w:t>
            </w:r>
          </w:p>
          <w:p w:rsidR="00A97D0D" w:rsidRPr="00490E09" w:rsidRDefault="00A97D0D" w:rsidP="00D70DDC">
            <w:pPr>
              <w:rPr>
                <w:rFonts w:ascii="Times New Roman" w:hAnsi="Times New Roman" w:cs="Times New Roman"/>
                <w:sz w:val="24"/>
                <w:szCs w:val="24"/>
              </w:rPr>
            </w:pPr>
            <w:r w:rsidRPr="00490E09">
              <w:rPr>
                <w:rFonts w:ascii="Times New Roman" w:hAnsi="Times New Roman" w:cs="Times New Roman"/>
                <w:sz w:val="24"/>
                <w:szCs w:val="24"/>
              </w:rPr>
              <w:t>CYP</w:t>
            </w:r>
          </w:p>
          <w:p w:rsidR="00A97D0D" w:rsidRPr="00490E09" w:rsidRDefault="00A97D0D" w:rsidP="00D70DDC">
            <w:pPr>
              <w:rPr>
                <w:rFonts w:ascii="Times New Roman" w:hAnsi="Times New Roman" w:cs="Times New Roman"/>
                <w:sz w:val="24"/>
                <w:szCs w:val="24"/>
              </w:rPr>
            </w:pPr>
            <w:r w:rsidRPr="00490E09">
              <w:rPr>
                <w:rFonts w:ascii="Times New Roman" w:hAnsi="Times New Roman" w:cs="Times New Roman"/>
                <w:sz w:val="24"/>
                <w:szCs w:val="24"/>
              </w:rPr>
              <w:t>enzyme</w:t>
            </w:r>
          </w:p>
        </w:tc>
      </w:tr>
      <w:tr w:rsidR="00A97D0D" w:rsidRPr="00490E09" w:rsidTr="00834DDA">
        <w:trPr>
          <w:trHeight w:val="260"/>
        </w:trPr>
        <w:tc>
          <w:tcPr>
            <w:tcW w:w="1012" w:type="dxa"/>
            <w:vMerge w:val="restart"/>
          </w:tcPr>
          <w:p w:rsidR="00A97D0D" w:rsidRPr="00490E09" w:rsidRDefault="00A97D0D" w:rsidP="00D70DDC">
            <w:pPr>
              <w:tabs>
                <w:tab w:val="left" w:pos="625"/>
              </w:tabs>
              <w:rPr>
                <w:rFonts w:ascii="Times New Roman" w:hAnsi="Times New Roman" w:cs="Times New Roman"/>
                <w:sz w:val="24"/>
                <w:szCs w:val="24"/>
              </w:rPr>
            </w:pPr>
            <w:r w:rsidRPr="00490E09">
              <w:rPr>
                <w:rFonts w:ascii="Times New Roman" w:hAnsi="Times New Roman" w:cs="Times New Roman"/>
                <w:sz w:val="24"/>
                <w:szCs w:val="24"/>
              </w:rPr>
              <w:t>WHO solidarity trial drugs for COVID 19</w:t>
            </w:r>
          </w:p>
        </w:tc>
        <w:tc>
          <w:tcPr>
            <w:tcW w:w="2498" w:type="dxa"/>
          </w:tcPr>
          <w:p w:rsidR="00A97D0D" w:rsidRPr="00490E09" w:rsidRDefault="00A97D0D" w:rsidP="00D70DDC">
            <w:pPr>
              <w:autoSpaceDE w:val="0"/>
              <w:autoSpaceDN w:val="0"/>
              <w:adjustRightInd w:val="0"/>
              <w:rPr>
                <w:rFonts w:ascii="Times New Roman" w:eastAsia="Times New Roman" w:hAnsi="Times New Roman" w:cs="Times New Roman"/>
                <w:b/>
                <w:color w:val="000000"/>
                <w:sz w:val="24"/>
                <w:szCs w:val="24"/>
              </w:rPr>
            </w:pPr>
            <w:r w:rsidRPr="00490E09">
              <w:rPr>
                <w:rFonts w:ascii="Times New Roman" w:eastAsia="Times New Roman" w:hAnsi="Times New Roman" w:cs="Times New Roman"/>
                <w:b/>
                <w:bCs/>
                <w:color w:val="000000"/>
                <w:sz w:val="24"/>
                <w:szCs w:val="24"/>
              </w:rPr>
              <w:t>Remdesivir</w:t>
            </w:r>
            <w:r w:rsidR="00227D05" w:rsidRPr="00490E09">
              <w:rPr>
                <w:rFonts w:ascii="Times New Roman" w:eastAsia="Times New Roman" w:hAnsi="Times New Roman" w:cs="Times New Roman"/>
                <w:b/>
                <w:bCs/>
                <w:color w:val="000000"/>
                <w:sz w:val="24"/>
                <w:szCs w:val="24"/>
              </w:rPr>
              <w:fldChar w:fldCharType="begin" w:fldLock="1"/>
            </w:r>
            <w:r w:rsidR="00516AC8">
              <w:rPr>
                <w:rFonts w:ascii="Times New Roman" w:eastAsia="Times New Roman" w:hAnsi="Times New Roman" w:cs="Times New Roman"/>
                <w:b/>
                <w:bCs/>
                <w:color w:val="000000"/>
                <w:sz w:val="24"/>
                <w:szCs w:val="24"/>
              </w:rPr>
              <w:instrText>ADDIN CSL_CITATION {"citationItems":[{"id":"ITEM-1","itemData":{"abstract":"McCreary, E.K. and J.M. Pogue. Coronavirus Disease 2019 Treatment: A Review of Early and Emerging Options. in Open Forum Infectious Diseases. 2020: Oxford University Press US","author":[{"dropping-particle":"","family":"McCreary","given":"E.K. and J.M. Pogue","non-dropping-particle":"","parse-names":false,"suffix":""}],"container-title":"Open Forum Infectious Diseases","id":"ITEM-1","issued":{"date-parts":[["2020"]]},"title":"Coronavirus Disease 2019 Treatment: A Review of Early and Emerging Options","type":"article-journal"},"uris":["http://www.mendeley.com/documents/?uuid=54baecf0-d1e0-4bd1-8351-415551960201","http://www.mendeley.com/documents/?uuid=c9031e4c-a56c-4c94-b502-a77221597cce"]}],"mendeley":{"formattedCitation":"&lt;sup&gt;1&lt;/sup&gt;","plainTextFormattedCitation":"1","previouslyFormattedCitation":"(1)"},"properties":{"noteIndex":0},"schema":"https://github.com/citation-style-language/schema/raw/master/csl-citation.json"}</w:instrText>
            </w:r>
            <w:r w:rsidR="00227D05" w:rsidRPr="00490E09">
              <w:rPr>
                <w:rFonts w:ascii="Times New Roman" w:eastAsia="Times New Roman" w:hAnsi="Times New Roman" w:cs="Times New Roman"/>
                <w:b/>
                <w:bCs/>
                <w:color w:val="000000"/>
                <w:sz w:val="24"/>
                <w:szCs w:val="24"/>
              </w:rPr>
              <w:fldChar w:fldCharType="separate"/>
            </w:r>
            <w:r w:rsidR="00516AC8" w:rsidRPr="00516AC8">
              <w:rPr>
                <w:rFonts w:ascii="Times New Roman" w:eastAsia="Times New Roman" w:hAnsi="Times New Roman" w:cs="Times New Roman"/>
                <w:bCs/>
                <w:noProof/>
                <w:color w:val="000000"/>
                <w:sz w:val="24"/>
                <w:szCs w:val="24"/>
                <w:vertAlign w:val="superscript"/>
              </w:rPr>
              <w:t>1</w:t>
            </w:r>
            <w:r w:rsidR="00227D05" w:rsidRPr="00490E09">
              <w:rPr>
                <w:rFonts w:ascii="Times New Roman" w:eastAsia="Times New Roman" w:hAnsi="Times New Roman" w:cs="Times New Roman"/>
                <w:b/>
                <w:bCs/>
                <w:color w:val="000000"/>
                <w:sz w:val="24"/>
                <w:szCs w:val="24"/>
              </w:rPr>
              <w:fldChar w:fldCharType="end"/>
            </w:r>
            <w:r w:rsidR="004F0EE3" w:rsidRPr="004F0EE3">
              <w:rPr>
                <w:rFonts w:ascii="Times New Roman" w:eastAsia="Times New Roman" w:hAnsi="Times New Roman" w:cs="Times New Roman"/>
                <w:bCs/>
                <w:color w:val="000000"/>
                <w:sz w:val="24"/>
                <w:szCs w:val="24"/>
                <w:vertAlign w:val="superscript"/>
              </w:rPr>
              <w:t>,</w:t>
            </w:r>
            <w:r w:rsidR="00227D05" w:rsidRPr="00490E09">
              <w:rPr>
                <w:rFonts w:ascii="Times New Roman" w:eastAsia="Times New Roman" w:hAnsi="Times New Roman" w:cs="Times New Roman"/>
                <w:b/>
                <w:bCs/>
                <w:color w:val="000000"/>
                <w:sz w:val="24"/>
                <w:szCs w:val="24"/>
              </w:rPr>
              <w:fldChar w:fldCharType="begin" w:fldLock="1"/>
            </w:r>
            <w:r w:rsidR="00516AC8">
              <w:rPr>
                <w:rFonts w:ascii="Times New Roman" w:eastAsia="Times New Roman" w:hAnsi="Times New Roman" w:cs="Times New Roman"/>
                <w:b/>
                <w:bCs/>
                <w:color w:val="000000"/>
                <w:sz w:val="24"/>
                <w:szCs w:val="24"/>
              </w:rPr>
              <w:instrText>ADDIN CSL_CITATION {"citationItems":[{"id":"ITEM-1","itemData":{"abstract":"Grein, J., et al., Compassionate Use of Remdesivir for Patients with Severe Covid-19. New England Journal of Medicine, 2020","author":[{"dropping-particle":"al","family":"Grein, J.","given":"et","non-dropping-particle":"","parse-names":false,"suffix":""}],"container-title":"New England Journal of Medicine","id":"ITEM-1","issued":{"date-parts":[["2020"]]},"title":"Compassionate Use of Remdesivir for Patients with Severe Covid-19","type":"article-journal"},"uris":["http://www.mendeley.com/documents/?uuid=b7cf04e7-206d-4ba0-8c3e-61a85b087657","http://www.mendeley.com/documents/?uuid=e8cc7b1e-19df-4393-b201-6ec248eb7dd7"]}],"mendeley":{"formattedCitation":"&lt;sup&gt;2&lt;/sup&gt;","plainTextFormattedCitation":"2","previouslyFormattedCitation":"(2)"},"properties":{"noteIndex":0},"schema":"https://github.com/citation-style-language/schema/raw/master/csl-citation.json"}</w:instrText>
            </w:r>
            <w:r w:rsidR="00227D05" w:rsidRPr="00490E09">
              <w:rPr>
                <w:rFonts w:ascii="Times New Roman" w:eastAsia="Times New Roman" w:hAnsi="Times New Roman" w:cs="Times New Roman"/>
                <w:b/>
                <w:bCs/>
                <w:color w:val="000000"/>
                <w:sz w:val="24"/>
                <w:szCs w:val="24"/>
              </w:rPr>
              <w:fldChar w:fldCharType="separate"/>
            </w:r>
            <w:r w:rsidR="00516AC8" w:rsidRPr="00516AC8">
              <w:rPr>
                <w:rFonts w:ascii="Times New Roman" w:eastAsia="Times New Roman" w:hAnsi="Times New Roman" w:cs="Times New Roman"/>
                <w:bCs/>
                <w:noProof/>
                <w:color w:val="000000"/>
                <w:sz w:val="24"/>
                <w:szCs w:val="24"/>
                <w:vertAlign w:val="superscript"/>
              </w:rPr>
              <w:t>2</w:t>
            </w:r>
            <w:r w:rsidR="00227D05" w:rsidRPr="00490E09">
              <w:rPr>
                <w:rFonts w:ascii="Times New Roman" w:eastAsia="Times New Roman" w:hAnsi="Times New Roman" w:cs="Times New Roman"/>
                <w:b/>
                <w:bCs/>
                <w:color w:val="000000"/>
                <w:sz w:val="24"/>
                <w:szCs w:val="24"/>
              </w:rPr>
              <w:fldChar w:fldCharType="end"/>
            </w:r>
            <w:r w:rsidR="004F0EE3">
              <w:rPr>
                <w:rFonts w:ascii="Times New Roman" w:eastAsia="Times New Roman" w:hAnsi="Times New Roman" w:cs="Times New Roman"/>
                <w:bCs/>
                <w:color w:val="000000"/>
                <w:sz w:val="24"/>
                <w:szCs w:val="24"/>
                <w:vertAlign w:val="superscript"/>
              </w:rPr>
              <w:t>,</w:t>
            </w:r>
            <w:r w:rsidR="00227D05" w:rsidRPr="00490E09">
              <w:rPr>
                <w:rFonts w:ascii="Times New Roman" w:eastAsia="Times New Roman" w:hAnsi="Times New Roman" w:cs="Times New Roman"/>
                <w:b/>
                <w:bCs/>
                <w:color w:val="000000"/>
                <w:sz w:val="24"/>
                <w:szCs w:val="24"/>
              </w:rPr>
              <w:fldChar w:fldCharType="begin" w:fldLock="1"/>
            </w:r>
            <w:r w:rsidR="00516AC8">
              <w:rPr>
                <w:rFonts w:ascii="Times New Roman" w:eastAsia="Times New Roman" w:hAnsi="Times New Roman" w:cs="Times New Roman"/>
                <w:b/>
                <w:bCs/>
                <w:color w:val="000000"/>
                <w:sz w:val="24"/>
                <w:szCs w:val="24"/>
              </w:rPr>
              <w:instrText>ADDIN CSL_CITATION {"citationItems":[{"id":"ITEM-1","itemData":{"container-title":"European Medicines Agency","id":"ITEM-1","issue":"April","issued":{"date-parts":[["2020"]]},"page":"41","title":"Summary on compassionate use Remdesivir Gilead International Nonproprietary Name : remdesivir","type":"article-journal","volume":"31"},"uris":["http://www.mendeley.com/documents/?uuid=17fe9025-7c75-4866-95cb-327e649ef5ea","http://www.mendeley.com/documents/?uuid=cdc7015b-915e-4c08-9063-f046d8955d75"]}],"mendeley":{"formattedCitation":"&lt;sup&gt;3&lt;/sup&gt;","plainTextFormattedCitation":"3","previouslyFormattedCitation":"(3)"},"properties":{"noteIndex":0},"schema":"https://github.com/citation-style-language/schema/raw/master/csl-citation.json"}</w:instrText>
            </w:r>
            <w:r w:rsidR="00227D05" w:rsidRPr="00490E09">
              <w:rPr>
                <w:rFonts w:ascii="Times New Roman" w:eastAsia="Times New Roman" w:hAnsi="Times New Roman" w:cs="Times New Roman"/>
                <w:b/>
                <w:bCs/>
                <w:color w:val="000000"/>
                <w:sz w:val="24"/>
                <w:szCs w:val="24"/>
              </w:rPr>
              <w:fldChar w:fldCharType="separate"/>
            </w:r>
            <w:r w:rsidR="00516AC8" w:rsidRPr="00516AC8">
              <w:rPr>
                <w:rFonts w:ascii="Times New Roman" w:eastAsia="Times New Roman" w:hAnsi="Times New Roman" w:cs="Times New Roman"/>
                <w:bCs/>
                <w:noProof/>
                <w:color w:val="000000"/>
                <w:sz w:val="24"/>
                <w:szCs w:val="24"/>
                <w:vertAlign w:val="superscript"/>
              </w:rPr>
              <w:t>3</w:t>
            </w:r>
            <w:r w:rsidR="00227D05" w:rsidRPr="00490E09">
              <w:rPr>
                <w:rFonts w:ascii="Times New Roman" w:eastAsia="Times New Roman" w:hAnsi="Times New Roman" w:cs="Times New Roman"/>
                <w:b/>
                <w:bCs/>
                <w:color w:val="000000"/>
                <w:sz w:val="24"/>
                <w:szCs w:val="24"/>
              </w:rPr>
              <w:fldChar w:fldCharType="end"/>
            </w:r>
            <w:r w:rsidRPr="00490E09">
              <w:rPr>
                <w:rFonts w:ascii="Times New Roman" w:eastAsia="Times New Roman" w:hAnsi="Times New Roman" w:cs="Times New Roman"/>
                <w:b/>
                <w:bCs/>
                <w:color w:val="000000"/>
                <w:sz w:val="24"/>
                <w:szCs w:val="24"/>
              </w:rPr>
              <w:t>:</w:t>
            </w:r>
          </w:p>
          <w:p w:rsidR="00A97D0D" w:rsidRPr="00490E09" w:rsidRDefault="00A97D0D" w:rsidP="00D70DDC">
            <w:pPr>
              <w:rPr>
                <w:rFonts w:ascii="Times New Roman" w:hAnsi="Times New Roman" w:cs="Times New Roman"/>
                <w:sz w:val="24"/>
                <w:szCs w:val="24"/>
              </w:rPr>
            </w:pPr>
            <w:r w:rsidRPr="00490E09">
              <w:rPr>
                <w:rFonts w:ascii="Times New Roman" w:eastAsia="Times New Roman" w:hAnsi="Times New Roman" w:cs="Times New Roman"/>
                <w:color w:val="000000"/>
                <w:sz w:val="24"/>
                <w:szCs w:val="24"/>
              </w:rPr>
              <w:t>(loading dose: 200 mg followed by 100 mg daily IV for 10 days)</w:t>
            </w:r>
          </w:p>
        </w:tc>
        <w:tc>
          <w:tcPr>
            <w:tcW w:w="1560" w:type="dxa"/>
          </w:tcPr>
          <w:p w:rsidR="00A97D0D" w:rsidRPr="00490E09" w:rsidRDefault="00A97D0D" w:rsidP="00D70DDC">
            <w:pPr>
              <w:rPr>
                <w:rFonts w:ascii="Times New Roman" w:hAnsi="Times New Roman" w:cs="Times New Roman"/>
                <w:sz w:val="24"/>
                <w:szCs w:val="24"/>
              </w:rPr>
            </w:pPr>
            <w:r w:rsidRPr="00490E09">
              <w:rPr>
                <w:rFonts w:ascii="Times New Roman" w:eastAsia="Times New Roman" w:hAnsi="Times New Roman" w:cs="Times New Roman"/>
                <w:color w:val="000000"/>
                <w:sz w:val="24"/>
                <w:szCs w:val="24"/>
              </w:rPr>
              <w:t>88</w:t>
            </w:r>
          </w:p>
        </w:tc>
        <w:tc>
          <w:tcPr>
            <w:tcW w:w="992" w:type="dxa"/>
          </w:tcPr>
          <w:p w:rsidR="00A97D0D" w:rsidRPr="00490E09" w:rsidRDefault="00A97D0D" w:rsidP="00D70DDC">
            <w:pPr>
              <w:rPr>
                <w:rFonts w:ascii="Times New Roman" w:hAnsi="Times New Roman" w:cs="Times New Roman"/>
                <w:sz w:val="24"/>
                <w:szCs w:val="24"/>
              </w:rPr>
            </w:pPr>
            <w:r w:rsidRPr="00490E09">
              <w:rPr>
                <w:rFonts w:ascii="Times New Roman" w:hAnsi="Times New Roman" w:cs="Times New Roman"/>
                <w:sz w:val="24"/>
                <w:szCs w:val="24"/>
              </w:rPr>
              <w:t>Moderate</w:t>
            </w:r>
          </w:p>
        </w:tc>
        <w:tc>
          <w:tcPr>
            <w:tcW w:w="1559" w:type="dxa"/>
          </w:tcPr>
          <w:p w:rsidR="00A97D0D" w:rsidRPr="00490E09" w:rsidRDefault="00A97D0D" w:rsidP="00D70DDC">
            <w:pPr>
              <w:autoSpaceDE w:val="0"/>
              <w:autoSpaceDN w:val="0"/>
              <w:adjustRightInd w:val="0"/>
              <w:rPr>
                <w:rFonts w:ascii="Times New Roman" w:eastAsia="Times New Roman" w:hAnsi="Times New Roman" w:cs="Times New Roman"/>
                <w:color w:val="000000"/>
                <w:sz w:val="24"/>
                <w:szCs w:val="24"/>
              </w:rPr>
            </w:pPr>
            <w:r w:rsidRPr="00490E09">
              <w:rPr>
                <w:rFonts w:ascii="Times New Roman" w:eastAsia="Times New Roman" w:hAnsi="Times New Roman" w:cs="Times New Roman"/>
                <w:color w:val="000000"/>
                <w:sz w:val="24"/>
                <w:szCs w:val="24"/>
              </w:rPr>
              <w:t>Loading dose: 5440 ±20.3ng/ml 2610±12.7 ng/mL (after 5-day dosing)</w:t>
            </w:r>
          </w:p>
          <w:p w:rsidR="00A97D0D" w:rsidRPr="00490E09" w:rsidRDefault="00A97D0D" w:rsidP="00D70DDC">
            <w:pPr>
              <w:autoSpaceDE w:val="0"/>
              <w:autoSpaceDN w:val="0"/>
              <w:adjustRightInd w:val="0"/>
              <w:rPr>
                <w:rFonts w:ascii="Times New Roman" w:eastAsia="Times New Roman" w:hAnsi="Times New Roman" w:cs="Times New Roman"/>
                <w:color w:val="000000"/>
                <w:sz w:val="24"/>
                <w:szCs w:val="24"/>
              </w:rPr>
            </w:pPr>
            <w:r w:rsidRPr="00490E09">
              <w:rPr>
                <w:rFonts w:ascii="Times New Roman" w:eastAsia="Times New Roman" w:hAnsi="Times New Roman" w:cs="Times New Roman"/>
                <w:color w:val="000000"/>
                <w:sz w:val="24"/>
                <w:szCs w:val="24"/>
              </w:rPr>
              <w:t>Active metabolite: 142 ±30.3 ng/mL</w:t>
            </w:r>
          </w:p>
        </w:tc>
        <w:tc>
          <w:tcPr>
            <w:tcW w:w="2181" w:type="dxa"/>
          </w:tcPr>
          <w:p w:rsidR="00A97D0D" w:rsidRPr="00490E09" w:rsidRDefault="00A97D0D" w:rsidP="00D70DDC">
            <w:pPr>
              <w:autoSpaceDE w:val="0"/>
              <w:autoSpaceDN w:val="0"/>
              <w:adjustRightInd w:val="0"/>
              <w:rPr>
                <w:rFonts w:ascii="Times New Roman" w:eastAsia="Times New Roman" w:hAnsi="Times New Roman" w:cs="Times New Roman"/>
                <w:color w:val="000000"/>
                <w:sz w:val="24"/>
                <w:szCs w:val="24"/>
              </w:rPr>
            </w:pPr>
            <w:r w:rsidRPr="00490E09">
              <w:rPr>
                <w:rFonts w:ascii="Times New Roman" w:eastAsia="Times New Roman" w:hAnsi="Times New Roman" w:cs="Times New Roman"/>
                <w:color w:val="000000"/>
                <w:sz w:val="24"/>
                <w:szCs w:val="24"/>
              </w:rPr>
              <w:t>EC50 values below 1 uM (=approximately 0.6 ug/mL)</w:t>
            </w:r>
          </w:p>
          <w:p w:rsidR="00A97D0D" w:rsidRPr="00490E09" w:rsidRDefault="00A97D0D" w:rsidP="00D70DDC">
            <w:pPr>
              <w:autoSpaceDE w:val="0"/>
              <w:autoSpaceDN w:val="0"/>
              <w:adjustRightInd w:val="0"/>
              <w:rPr>
                <w:rFonts w:ascii="Times New Roman" w:eastAsia="Times New Roman" w:hAnsi="Times New Roman" w:cs="Times New Roman"/>
                <w:color w:val="000000"/>
                <w:sz w:val="24"/>
                <w:szCs w:val="24"/>
              </w:rPr>
            </w:pPr>
          </w:p>
          <w:p w:rsidR="00A97D0D" w:rsidRPr="00490E09" w:rsidRDefault="00A97D0D" w:rsidP="00D70DDC">
            <w:pPr>
              <w:rPr>
                <w:rFonts w:ascii="Times New Roman" w:hAnsi="Times New Roman" w:cs="Times New Roman"/>
                <w:sz w:val="24"/>
                <w:szCs w:val="24"/>
              </w:rPr>
            </w:pPr>
            <w:r w:rsidRPr="00490E09">
              <w:rPr>
                <w:rFonts w:ascii="Times New Roman" w:eastAsia="Times New Roman" w:hAnsi="Times New Roman" w:cs="Times New Roman"/>
                <w:color w:val="000000"/>
                <w:sz w:val="24"/>
                <w:szCs w:val="24"/>
              </w:rPr>
              <w:t>in vitro activity against SARS-CoV-2 with an EC50 at 48 hours of 0.77 µM in Vero E6 cells</w:t>
            </w:r>
          </w:p>
        </w:tc>
        <w:tc>
          <w:tcPr>
            <w:tcW w:w="1097" w:type="dxa"/>
          </w:tcPr>
          <w:p w:rsidR="00A97D0D" w:rsidRPr="00490E09" w:rsidRDefault="00A97D0D" w:rsidP="00D70DDC">
            <w:pPr>
              <w:rPr>
                <w:rFonts w:ascii="Times New Roman" w:hAnsi="Times New Roman" w:cs="Times New Roman"/>
                <w:sz w:val="24"/>
                <w:szCs w:val="24"/>
              </w:rPr>
            </w:pPr>
            <w:r w:rsidRPr="00490E09">
              <w:rPr>
                <w:rFonts w:ascii="Times New Roman" w:hAnsi="Times New Roman" w:cs="Times New Roman"/>
                <w:sz w:val="24"/>
                <w:szCs w:val="24"/>
              </w:rPr>
              <w:t>NA</w:t>
            </w:r>
          </w:p>
        </w:tc>
        <w:tc>
          <w:tcPr>
            <w:tcW w:w="933" w:type="dxa"/>
          </w:tcPr>
          <w:p w:rsidR="00A97D0D" w:rsidRPr="00490E09" w:rsidRDefault="00A97D0D" w:rsidP="00D70DDC">
            <w:pPr>
              <w:autoSpaceDE w:val="0"/>
              <w:autoSpaceDN w:val="0"/>
              <w:adjustRightInd w:val="0"/>
              <w:rPr>
                <w:rFonts w:ascii="Times New Roman" w:eastAsia="Times New Roman" w:hAnsi="Times New Roman" w:cs="Times New Roman"/>
                <w:color w:val="000000"/>
                <w:sz w:val="24"/>
                <w:szCs w:val="24"/>
              </w:rPr>
            </w:pPr>
            <w:r w:rsidRPr="00490E09">
              <w:rPr>
                <w:rFonts w:ascii="Times New Roman" w:eastAsia="Times New Roman" w:hAnsi="Times New Roman" w:cs="Times New Roman"/>
                <w:color w:val="000000"/>
                <w:sz w:val="24"/>
                <w:szCs w:val="24"/>
              </w:rPr>
              <w:t>1 hour</w:t>
            </w:r>
          </w:p>
          <w:p w:rsidR="00A97D0D" w:rsidRPr="00490E09" w:rsidRDefault="00A97D0D" w:rsidP="00D70DDC">
            <w:pPr>
              <w:rPr>
                <w:rFonts w:ascii="Times New Roman" w:hAnsi="Times New Roman" w:cs="Times New Roman"/>
                <w:sz w:val="24"/>
                <w:szCs w:val="24"/>
              </w:rPr>
            </w:pPr>
            <w:r w:rsidRPr="00490E09">
              <w:rPr>
                <w:rFonts w:ascii="Times New Roman" w:eastAsia="Times New Roman" w:hAnsi="Times New Roman" w:cs="Times New Roman"/>
                <w:color w:val="000000"/>
                <w:sz w:val="24"/>
                <w:szCs w:val="24"/>
              </w:rPr>
              <w:t>Metabolite: 24.5 hours</w:t>
            </w:r>
          </w:p>
        </w:tc>
        <w:tc>
          <w:tcPr>
            <w:tcW w:w="1460" w:type="dxa"/>
          </w:tcPr>
          <w:p w:rsidR="00A97D0D" w:rsidRPr="00490E09" w:rsidRDefault="00A97D0D" w:rsidP="00D70DDC">
            <w:pPr>
              <w:rPr>
                <w:rFonts w:ascii="Times New Roman" w:hAnsi="Times New Roman" w:cs="Times New Roman"/>
                <w:sz w:val="24"/>
                <w:szCs w:val="24"/>
              </w:rPr>
            </w:pPr>
            <w:r w:rsidRPr="00490E09">
              <w:rPr>
                <w:rFonts w:ascii="Times New Roman" w:eastAsia="Times New Roman" w:hAnsi="Times New Roman" w:cs="Times New Roman"/>
                <w:color w:val="000000"/>
                <w:sz w:val="24"/>
                <w:szCs w:val="24"/>
              </w:rPr>
              <w:t>CYP2C8, CYP2D6 (S) and CYP3A4 (SINH)</w:t>
            </w:r>
          </w:p>
        </w:tc>
        <w:tc>
          <w:tcPr>
            <w:tcW w:w="882" w:type="dxa"/>
          </w:tcPr>
          <w:p w:rsidR="00A97D0D" w:rsidRPr="00490E09" w:rsidRDefault="00A97D0D" w:rsidP="00D70DDC">
            <w:pPr>
              <w:rPr>
                <w:rFonts w:ascii="Times New Roman" w:hAnsi="Times New Roman" w:cs="Times New Roman"/>
                <w:sz w:val="24"/>
                <w:szCs w:val="24"/>
              </w:rPr>
            </w:pPr>
            <w:r w:rsidRPr="00490E09">
              <w:rPr>
                <w:rFonts w:ascii="Times New Roman" w:hAnsi="Times New Roman" w:cs="Times New Roman"/>
                <w:sz w:val="24"/>
                <w:szCs w:val="24"/>
              </w:rPr>
              <w:t>NA</w:t>
            </w:r>
          </w:p>
        </w:tc>
      </w:tr>
      <w:tr w:rsidR="00A97D0D" w:rsidRPr="00490E09" w:rsidTr="00834DDA">
        <w:trPr>
          <w:trHeight w:val="260"/>
        </w:trPr>
        <w:tc>
          <w:tcPr>
            <w:tcW w:w="1012" w:type="dxa"/>
            <w:vMerge/>
          </w:tcPr>
          <w:p w:rsidR="00A97D0D" w:rsidRPr="00490E09" w:rsidRDefault="00A97D0D" w:rsidP="00D70DDC">
            <w:pPr>
              <w:tabs>
                <w:tab w:val="left" w:pos="625"/>
              </w:tabs>
              <w:rPr>
                <w:rFonts w:ascii="Times New Roman" w:hAnsi="Times New Roman" w:cs="Times New Roman"/>
                <w:sz w:val="24"/>
                <w:szCs w:val="24"/>
              </w:rPr>
            </w:pPr>
          </w:p>
        </w:tc>
        <w:tc>
          <w:tcPr>
            <w:tcW w:w="2498" w:type="dxa"/>
          </w:tcPr>
          <w:p w:rsidR="00A97D0D" w:rsidRPr="00490E09" w:rsidRDefault="00A97D0D" w:rsidP="00D70DDC">
            <w:pPr>
              <w:autoSpaceDE w:val="0"/>
              <w:autoSpaceDN w:val="0"/>
              <w:adjustRightInd w:val="0"/>
              <w:rPr>
                <w:rFonts w:ascii="Times New Roman" w:eastAsia="Times New Roman" w:hAnsi="Times New Roman" w:cs="Times New Roman"/>
                <w:bCs/>
                <w:color w:val="000000"/>
                <w:sz w:val="24"/>
                <w:szCs w:val="24"/>
              </w:rPr>
            </w:pPr>
            <w:r w:rsidRPr="00490E09">
              <w:rPr>
                <w:rFonts w:ascii="Times New Roman" w:eastAsia="Times New Roman" w:hAnsi="Times New Roman" w:cs="Times New Roman"/>
                <w:b/>
                <w:bCs/>
                <w:color w:val="000000"/>
                <w:sz w:val="24"/>
                <w:szCs w:val="24"/>
              </w:rPr>
              <w:t>Chloroquine</w:t>
            </w:r>
            <w:r w:rsidR="00227D05" w:rsidRPr="00490E09">
              <w:rPr>
                <w:rFonts w:ascii="Times New Roman" w:eastAsia="Times New Roman" w:hAnsi="Times New Roman" w:cs="Times New Roman"/>
                <w:b/>
                <w:bCs/>
                <w:color w:val="000000"/>
                <w:sz w:val="24"/>
                <w:szCs w:val="24"/>
              </w:rPr>
              <w:fldChar w:fldCharType="begin" w:fldLock="1"/>
            </w:r>
            <w:r w:rsidR="00516AC8">
              <w:rPr>
                <w:rFonts w:ascii="Times New Roman" w:eastAsia="Times New Roman" w:hAnsi="Times New Roman" w:cs="Times New Roman"/>
                <w:b/>
                <w:bCs/>
                <w:color w:val="000000"/>
                <w:sz w:val="24"/>
                <w:szCs w:val="24"/>
              </w:rPr>
              <w:instrText>ADDIN CSL_CITATION {"citationItems":[{"id":"ITEM-1","itemData":{"abstract":"McCreary, E.K. and J.M. Pogue. Coronavirus Disease 2019 Treatment: A Review of Early and Emerging Options. in Open Forum Infectious Diseases. 2020: Oxford University Press US","author":[{"dropping-particle":"","family":"McCreary","given":"E.K. and J.M. Pogue","non-dropping-particle":"","parse-names":false,"suffix":""}],"container-title":"Open Forum Infectious Diseases","id":"ITEM-1","issued":{"date-parts":[["2020"]]},"title":"Coronavirus Disease 2019 Treatment: A Review of Early and Emerging Options","type":"article-journal"},"uris":["http://www.mendeley.com/documents/?uuid=c9031e4c-a56c-4c94-b502-a77221597cce","http://www.mendeley.com/documents/?uuid=54baecf0-d1e0-4bd1-8351-415551960201"]}],"mendeley":{"formattedCitation":"&lt;sup&gt;1&lt;/sup&gt;","plainTextFormattedCitation":"1","previouslyFormattedCitation":"(1)"},"properties":{"noteIndex":0},"schema":"https://github.com/citation-style-language/schema/raw/master/csl-citation.json"}</w:instrText>
            </w:r>
            <w:r w:rsidR="00227D05" w:rsidRPr="00490E09">
              <w:rPr>
                <w:rFonts w:ascii="Times New Roman" w:eastAsia="Times New Roman" w:hAnsi="Times New Roman" w:cs="Times New Roman"/>
                <w:b/>
                <w:bCs/>
                <w:color w:val="000000"/>
                <w:sz w:val="24"/>
                <w:szCs w:val="24"/>
              </w:rPr>
              <w:fldChar w:fldCharType="separate"/>
            </w:r>
            <w:r w:rsidR="00516AC8" w:rsidRPr="00516AC8">
              <w:rPr>
                <w:rFonts w:ascii="Times New Roman" w:eastAsia="Times New Roman" w:hAnsi="Times New Roman" w:cs="Times New Roman"/>
                <w:bCs/>
                <w:noProof/>
                <w:color w:val="000000"/>
                <w:sz w:val="24"/>
                <w:szCs w:val="24"/>
                <w:vertAlign w:val="superscript"/>
              </w:rPr>
              <w:t>1</w:t>
            </w:r>
            <w:r w:rsidR="00227D05" w:rsidRPr="00490E09">
              <w:rPr>
                <w:rFonts w:ascii="Times New Roman" w:eastAsia="Times New Roman" w:hAnsi="Times New Roman" w:cs="Times New Roman"/>
                <w:b/>
                <w:bCs/>
                <w:color w:val="000000"/>
                <w:sz w:val="24"/>
                <w:szCs w:val="24"/>
              </w:rPr>
              <w:fldChar w:fldCharType="end"/>
            </w:r>
            <w:r w:rsidR="001B4916">
              <w:rPr>
                <w:rFonts w:ascii="Times New Roman" w:eastAsia="Times New Roman" w:hAnsi="Times New Roman" w:cs="Times New Roman"/>
                <w:bCs/>
                <w:color w:val="000000"/>
                <w:sz w:val="24"/>
                <w:szCs w:val="24"/>
                <w:vertAlign w:val="superscript"/>
              </w:rPr>
              <w:t>,</w:t>
            </w:r>
            <w:r w:rsidR="00227D05" w:rsidRPr="00490E09">
              <w:rPr>
                <w:rFonts w:ascii="Times New Roman" w:eastAsia="Times New Roman" w:hAnsi="Times New Roman" w:cs="Times New Roman"/>
                <w:b/>
                <w:bCs/>
                <w:color w:val="000000"/>
                <w:sz w:val="24"/>
                <w:szCs w:val="24"/>
              </w:rPr>
              <w:fldChar w:fldCharType="begin" w:fldLock="1"/>
            </w:r>
            <w:r w:rsidR="00516AC8">
              <w:rPr>
                <w:rFonts w:ascii="Times New Roman" w:eastAsia="Times New Roman" w:hAnsi="Times New Roman" w:cs="Times New Roman"/>
                <w:b/>
                <w:bCs/>
                <w:color w:val="000000"/>
                <w:sz w:val="24"/>
                <w:szCs w:val="24"/>
              </w:rPr>
              <w:instrText>ADDIN CSL_CITATION {"citationItems":[{"id":"ITEM-1","itemData":{"abstract":"Thummel, K.E., D.D. Shen, and N. Isoherranen, Design and optimization of dosage regimens: pharmacokinetic data, in Goodman and Gilman’s the pharmacological basis of therapeutics, H.-D.R. Brunton LL, Knollmann BC., Editor. 2018 . New York: McGraw Hill. 2018;, McGraw Hill: New York. p. 1325-1378.","author":[{"dropping-particle":"","family":"Thummel, K.E., D.D. Shen","given":"and N. Isoherranen","non-dropping-particle":"","parse-names":false,"suffix":""}],"edition":"11","editor":[{"dropping-particle":"","family":"-D.R. Brunton LL, Knollmann BC.","given":"Editor","non-dropping-particle":"","parse-names":false,"suffix":""}],"id":"ITEM-1","issued":{"date-parts":[["2018"]]},"number-of-pages":"1325-1378","publisher":"McGraw Hil","publisher-place":"New-York","title":"Design and optimization of dosage regimens: pharmacokinetic data, in Goodman and Gilman’s the pharmacological basis of therapeutics","type":"book"},"uris":["http://www.mendeley.com/documents/?uuid=47c47bf6-f69a-4b8b-959c-e7d121fe3fd4","http://www.mendeley.com/documents/?uuid=769642f9-969a-4c7f-bb91-f290e7ec4cab"]}],"mendeley":{"formattedCitation":"&lt;sup&gt;4&lt;/sup&gt;","plainTextFormattedCitation":"4","previouslyFormattedCitation":"(4)"},"properties":{"noteIndex":0},"schema":"https://github.com/citation-style-language/schema/raw/master/csl-citation.json"}</w:instrText>
            </w:r>
            <w:r w:rsidR="00227D05" w:rsidRPr="00490E09">
              <w:rPr>
                <w:rFonts w:ascii="Times New Roman" w:eastAsia="Times New Roman" w:hAnsi="Times New Roman" w:cs="Times New Roman"/>
                <w:b/>
                <w:bCs/>
                <w:color w:val="000000"/>
                <w:sz w:val="24"/>
                <w:szCs w:val="24"/>
              </w:rPr>
              <w:fldChar w:fldCharType="separate"/>
            </w:r>
            <w:r w:rsidR="00516AC8" w:rsidRPr="00516AC8">
              <w:rPr>
                <w:rFonts w:ascii="Times New Roman" w:eastAsia="Times New Roman" w:hAnsi="Times New Roman" w:cs="Times New Roman"/>
                <w:bCs/>
                <w:noProof/>
                <w:color w:val="000000"/>
                <w:sz w:val="24"/>
                <w:szCs w:val="24"/>
                <w:vertAlign w:val="superscript"/>
              </w:rPr>
              <w:t>4</w:t>
            </w:r>
            <w:r w:rsidR="00227D05" w:rsidRPr="00490E09">
              <w:rPr>
                <w:rFonts w:ascii="Times New Roman" w:eastAsia="Times New Roman" w:hAnsi="Times New Roman" w:cs="Times New Roman"/>
                <w:b/>
                <w:bCs/>
                <w:color w:val="000000"/>
                <w:sz w:val="24"/>
                <w:szCs w:val="24"/>
              </w:rPr>
              <w:fldChar w:fldCharType="end"/>
            </w:r>
            <w:r w:rsidR="001B4916">
              <w:rPr>
                <w:rFonts w:ascii="Times New Roman" w:eastAsia="Times New Roman" w:hAnsi="Times New Roman" w:cs="Times New Roman"/>
                <w:bCs/>
                <w:color w:val="000000"/>
                <w:sz w:val="24"/>
                <w:szCs w:val="24"/>
                <w:vertAlign w:val="superscript"/>
              </w:rPr>
              <w:t>,</w:t>
            </w:r>
            <w:r w:rsidR="00227D05" w:rsidRPr="00490E09">
              <w:rPr>
                <w:rFonts w:ascii="Times New Roman" w:eastAsia="Times New Roman" w:hAnsi="Times New Roman" w:cs="Times New Roman"/>
                <w:b/>
                <w:bCs/>
                <w:color w:val="000000"/>
                <w:sz w:val="24"/>
                <w:szCs w:val="24"/>
              </w:rPr>
              <w:fldChar w:fldCharType="begin" w:fldLock="1"/>
            </w:r>
            <w:r w:rsidR="00516AC8">
              <w:rPr>
                <w:rFonts w:ascii="Times New Roman" w:eastAsia="Times New Roman" w:hAnsi="Times New Roman" w:cs="Times New Roman"/>
                <w:b/>
                <w:bCs/>
                <w:color w:val="000000"/>
                <w:sz w:val="24"/>
                <w:szCs w:val="24"/>
              </w:rPr>
              <w:instrText>ADDIN CSL_CITATION {"citationItems":[{"id":"ITEM-1","itemData":{"DOI":"10.1124/dmd.31.6.748","ISSN":"00909556","abstract":"In humans, the antimalarial drug chloroquine (CQ) is metabolized into one major metabolite, N-desethylchloroquine (DCQ). Using human liver microsomes (HLM) and recombinant human cytochrome P450 (P450), we performed studies to identify the P450 isoform(s) involved in the N-desethylation of CQ. In HLM incubated with CQ, only DCQ could be detected. Apparent Km and Vmax values (mean ± S.D.) for metabolite formation were 444 ± 121 μM and 617 ± 128 pmol/min/mg protein, respectively. In microsomes from a panel of 16 human livers phenotyped for 10 different P450 isoforms, DCQ formation was highly correlated with testosterone 6/β-hydroxylation (r = 0.80; p &lt; 0.001), a CYP3A-mediated reaction, and CYP2C8-mediated paclitaxel α-hydroxylation (r = 0.82; p &lt; 0.001). CQ N-desethylation was diminished when coincubated with quercetin (20-40% inhibition), ketoconazole, or troleandomycin (20-30% inhibition) and was strongly inhibited (80% inhibition) by a combination of ketoconazole and quercetin, which further corroborates the contribution of CYP2C8 and CYP3As. Of 10 cDNA- expressed human P450s examined, only CYP1A1, CYP2D6, CYP3A4, and CYP2C8 produced DCQ. CYP2C8 and CYP3A4 constituted low-affinity/high-capacity systems, whereas CYP2D6 was associated with higher affinity but a significantly lower capacity. This property may explain the ability of CQ to inhibit CYP2D6-mediated metabolism in vitro and in vivo. At therapeutically relevant concentrations (</w:instrText>
            </w:r>
            <w:r w:rsidR="00516AC8">
              <w:rPr>
                <w:rFonts w:ascii="Cambria Math" w:eastAsia="Times New Roman" w:hAnsi="Cambria Math" w:cs="Cambria Math"/>
                <w:b/>
                <w:bCs/>
                <w:color w:val="000000"/>
                <w:sz w:val="24"/>
                <w:szCs w:val="24"/>
              </w:rPr>
              <w:instrText>∼</w:instrText>
            </w:r>
            <w:r w:rsidR="00516AC8">
              <w:rPr>
                <w:rFonts w:ascii="Times New Roman" w:eastAsia="Times New Roman" w:hAnsi="Times New Roman" w:cs="Times New Roman"/>
                <w:b/>
                <w:bCs/>
                <w:color w:val="000000"/>
                <w:sz w:val="24"/>
                <w:szCs w:val="24"/>
              </w:rPr>
              <w:instrText>100 μM CQ in the liver), CYP2C8, CYP3A4, and, to a much lesser extent, CYP2D6 are expected to account for most of the CQ N-desethylation.","author":[{"dropping-particle":"","family":"Projean","given":"Denis","non-dropping-particle":"","parse-names":false,"suffix":""},{"dropping-particle":"","family":"Baune","given":"Bruno","non-dropping-particle":"","parse-names":false,"suffix":""},{"dropping-particle":"","family":"Farinotti","given":"Robert","non-dropping-particle":"","parse-names":false,"suffix":""},{"dropping-particle":"","family":"Flinois","given":"Jean Pierre","non-dropping-particle":"","parse-names":false,"suffix":""},{"dropping-particle":"","family":"Beaune","given":"Philippe","non-dropping-particle":"","parse-names":false,"suffix":""},{"dropping-particle":"","family":"Taburet","given":"Anne Marie","non-dropping-particle":"","parse-names":false,"suffix":""},{"dropping-particle":"","family":"Ducharme","given":"Julie","non-dropping-particle":"","parse-names":false,"suffix":""}],"container-title":"Drug Metabolism and Disposition","id":"ITEM-1","issue":"6","issued":{"date-parts":[["2003"]]},"page":"748-754","title":"In vitro metabolism of chloroquine: Identification of CYP2C8, CYP3A4, and CYP2D6 as the main isoforms catalyzing N-desethylchloroquine formation","type":"article-journal","volume":"31"},"uris":["http://www.mendeley.com/documents/?uuid=47e3127a-ea9e-4cd3-84ed-8c72479b2706","http://www.mendeley.com/documents/?uuid=8a7c5ea9-f8a3-4c6e-9907-1b490ba1a775"]}],"mendeley":{"formattedCitation":"&lt;sup&gt;5&lt;/sup&gt;","plainTextFormattedCitation":"5","previouslyFormattedCitation":"(5)"},"properties":{"noteIndex":0},"schema":"https://github.com/citation-style-language/schema/raw/master/csl-citation.json"}</w:instrText>
            </w:r>
            <w:r w:rsidR="00227D05" w:rsidRPr="00490E09">
              <w:rPr>
                <w:rFonts w:ascii="Times New Roman" w:eastAsia="Times New Roman" w:hAnsi="Times New Roman" w:cs="Times New Roman"/>
                <w:b/>
                <w:bCs/>
                <w:color w:val="000000"/>
                <w:sz w:val="24"/>
                <w:szCs w:val="24"/>
              </w:rPr>
              <w:fldChar w:fldCharType="separate"/>
            </w:r>
            <w:r w:rsidR="00516AC8" w:rsidRPr="00516AC8">
              <w:rPr>
                <w:rFonts w:ascii="Times New Roman" w:eastAsia="Times New Roman" w:hAnsi="Times New Roman" w:cs="Times New Roman"/>
                <w:bCs/>
                <w:noProof/>
                <w:color w:val="000000"/>
                <w:sz w:val="24"/>
                <w:szCs w:val="24"/>
                <w:vertAlign w:val="superscript"/>
              </w:rPr>
              <w:t>5</w:t>
            </w:r>
            <w:r w:rsidR="00227D05" w:rsidRPr="00490E09">
              <w:rPr>
                <w:rFonts w:ascii="Times New Roman" w:eastAsia="Times New Roman" w:hAnsi="Times New Roman" w:cs="Times New Roman"/>
                <w:b/>
                <w:bCs/>
                <w:color w:val="000000"/>
                <w:sz w:val="24"/>
                <w:szCs w:val="24"/>
              </w:rPr>
              <w:fldChar w:fldCharType="end"/>
            </w:r>
            <w:r w:rsidRPr="00490E09">
              <w:rPr>
                <w:rFonts w:ascii="Times New Roman" w:eastAsia="Times New Roman" w:hAnsi="Times New Roman" w:cs="Times New Roman"/>
                <w:b/>
                <w:color w:val="000000"/>
                <w:sz w:val="24"/>
                <w:szCs w:val="24"/>
              </w:rPr>
              <w:t>:</w:t>
            </w:r>
            <w:r w:rsidRPr="00490E09">
              <w:rPr>
                <w:rFonts w:ascii="Times New Roman" w:eastAsia="Times New Roman" w:hAnsi="Times New Roman" w:cs="Times New Roman"/>
                <w:color w:val="000000"/>
                <w:sz w:val="24"/>
                <w:szCs w:val="24"/>
              </w:rPr>
              <w:t xml:space="preserve"> Adults with a bodyweight ≥ 50 kg: 500 mg twice daily for 7 days</w:t>
            </w:r>
          </w:p>
          <w:p w:rsidR="00A97D0D" w:rsidRPr="00490E09" w:rsidRDefault="00A97D0D" w:rsidP="00D70DDC">
            <w:pPr>
              <w:rPr>
                <w:rFonts w:ascii="Times New Roman" w:hAnsi="Times New Roman" w:cs="Times New Roman"/>
                <w:sz w:val="24"/>
                <w:szCs w:val="24"/>
              </w:rPr>
            </w:pPr>
            <w:r w:rsidRPr="00490E09">
              <w:rPr>
                <w:rFonts w:ascii="Times New Roman" w:eastAsia="Times New Roman" w:hAnsi="Times New Roman" w:cs="Times New Roman"/>
                <w:color w:val="000000"/>
                <w:sz w:val="24"/>
                <w:szCs w:val="24"/>
              </w:rPr>
              <w:t>(Adults with a bodyweight &lt; 50 kg: 500 mg twice daily on days 1 and 2, followed by 500 mg once daily for days 3-7)</w:t>
            </w:r>
          </w:p>
        </w:tc>
        <w:tc>
          <w:tcPr>
            <w:tcW w:w="1560" w:type="dxa"/>
          </w:tcPr>
          <w:p w:rsidR="00A97D0D" w:rsidRPr="00490E09" w:rsidRDefault="00A97D0D" w:rsidP="00D70DDC">
            <w:pPr>
              <w:autoSpaceDE w:val="0"/>
              <w:autoSpaceDN w:val="0"/>
              <w:adjustRightInd w:val="0"/>
              <w:rPr>
                <w:rFonts w:ascii="Times New Roman" w:eastAsia="Times New Roman" w:hAnsi="Times New Roman" w:cs="Times New Roman"/>
                <w:color w:val="000000"/>
                <w:sz w:val="24"/>
                <w:szCs w:val="24"/>
              </w:rPr>
            </w:pPr>
            <w:r w:rsidRPr="00490E09">
              <w:rPr>
                <w:rFonts w:ascii="Times New Roman" w:eastAsia="Times New Roman" w:hAnsi="Times New Roman" w:cs="Times New Roman"/>
                <w:color w:val="000000"/>
                <w:sz w:val="24"/>
                <w:szCs w:val="24"/>
              </w:rPr>
              <w:t>80</w:t>
            </w:r>
          </w:p>
          <w:p w:rsidR="00A97D0D" w:rsidRPr="00490E09" w:rsidRDefault="00A97D0D" w:rsidP="00D70DDC">
            <w:pPr>
              <w:autoSpaceDE w:val="0"/>
              <w:autoSpaceDN w:val="0"/>
              <w:adjustRightInd w:val="0"/>
              <w:rPr>
                <w:rFonts w:ascii="Times New Roman" w:eastAsia="Times New Roman" w:hAnsi="Times New Roman" w:cs="Times New Roman"/>
                <w:color w:val="000000"/>
                <w:sz w:val="24"/>
                <w:szCs w:val="24"/>
              </w:rPr>
            </w:pPr>
            <w:r w:rsidRPr="00490E09">
              <w:rPr>
                <w:rFonts w:ascii="Times New Roman" w:eastAsia="Times New Roman" w:hAnsi="Times New Roman" w:cs="Times New Roman"/>
                <w:color w:val="000000"/>
                <w:sz w:val="24"/>
                <w:szCs w:val="24"/>
              </w:rPr>
              <w:t>*(S=66.6±3.3</w:t>
            </w:r>
          </w:p>
          <w:p w:rsidR="00A97D0D" w:rsidRPr="00490E09" w:rsidRDefault="00A97D0D" w:rsidP="00D70DDC">
            <w:pPr>
              <w:rPr>
                <w:rFonts w:ascii="Times New Roman" w:hAnsi="Times New Roman" w:cs="Times New Roman"/>
                <w:sz w:val="24"/>
                <w:szCs w:val="24"/>
              </w:rPr>
            </w:pPr>
            <w:r w:rsidRPr="00490E09">
              <w:rPr>
                <w:rFonts w:ascii="Times New Roman" w:eastAsia="Times New Roman" w:hAnsi="Times New Roman" w:cs="Times New Roman"/>
                <w:color w:val="000000"/>
                <w:sz w:val="24"/>
                <w:szCs w:val="24"/>
              </w:rPr>
              <w:t>R=42.7±2.1)</w:t>
            </w:r>
          </w:p>
        </w:tc>
        <w:tc>
          <w:tcPr>
            <w:tcW w:w="992" w:type="dxa"/>
          </w:tcPr>
          <w:p w:rsidR="00A97D0D" w:rsidRPr="00490E09" w:rsidRDefault="00A97D0D" w:rsidP="00D70DDC">
            <w:pPr>
              <w:rPr>
                <w:rFonts w:ascii="Times New Roman" w:hAnsi="Times New Roman" w:cs="Times New Roman"/>
                <w:sz w:val="24"/>
                <w:szCs w:val="24"/>
              </w:rPr>
            </w:pPr>
            <w:r w:rsidRPr="00490E09">
              <w:rPr>
                <w:rFonts w:ascii="Times New Roman" w:hAnsi="Times New Roman" w:cs="Times New Roman"/>
                <w:sz w:val="24"/>
                <w:szCs w:val="24"/>
              </w:rPr>
              <w:t>50-60</w:t>
            </w:r>
          </w:p>
        </w:tc>
        <w:tc>
          <w:tcPr>
            <w:tcW w:w="1559" w:type="dxa"/>
          </w:tcPr>
          <w:p w:rsidR="00A97D0D" w:rsidRPr="00490E09" w:rsidRDefault="00A97D0D" w:rsidP="00D70DDC">
            <w:pPr>
              <w:autoSpaceDE w:val="0"/>
              <w:autoSpaceDN w:val="0"/>
              <w:adjustRightInd w:val="0"/>
              <w:rPr>
                <w:rFonts w:ascii="Times New Roman" w:eastAsia="Times New Roman" w:hAnsi="Times New Roman" w:cs="Times New Roman"/>
                <w:color w:val="000000"/>
                <w:sz w:val="24"/>
                <w:szCs w:val="24"/>
              </w:rPr>
            </w:pPr>
            <w:r w:rsidRPr="00490E09">
              <w:rPr>
                <w:rFonts w:ascii="Times New Roman" w:eastAsia="Times New Roman" w:hAnsi="Times New Roman" w:cs="Times New Roman"/>
                <w:color w:val="000000"/>
                <w:sz w:val="24"/>
                <w:szCs w:val="24"/>
              </w:rPr>
              <w:t>PO: 76± 14</w:t>
            </w:r>
          </w:p>
          <w:p w:rsidR="00A97D0D" w:rsidRPr="00490E09" w:rsidRDefault="00A97D0D" w:rsidP="00D70DDC">
            <w:pPr>
              <w:autoSpaceDE w:val="0"/>
              <w:autoSpaceDN w:val="0"/>
              <w:adjustRightInd w:val="0"/>
              <w:rPr>
                <w:rFonts w:ascii="Times New Roman" w:eastAsia="Times New Roman" w:hAnsi="Times New Roman" w:cs="Times New Roman"/>
                <w:color w:val="000000"/>
                <w:sz w:val="24"/>
                <w:szCs w:val="24"/>
              </w:rPr>
            </w:pPr>
            <w:r w:rsidRPr="00490E09">
              <w:rPr>
                <w:rFonts w:ascii="Times New Roman" w:eastAsia="Times New Roman" w:hAnsi="Times New Roman" w:cs="Times New Roman"/>
                <w:color w:val="000000"/>
                <w:sz w:val="24"/>
                <w:szCs w:val="24"/>
              </w:rPr>
              <w:t>IM: 57-480</w:t>
            </w:r>
          </w:p>
          <w:p w:rsidR="00A97D0D" w:rsidRPr="00490E09" w:rsidRDefault="00A97D0D" w:rsidP="00D70DDC">
            <w:pPr>
              <w:autoSpaceDE w:val="0"/>
              <w:autoSpaceDN w:val="0"/>
              <w:adjustRightInd w:val="0"/>
              <w:rPr>
                <w:rFonts w:ascii="Times New Roman" w:eastAsia="Times New Roman" w:hAnsi="Times New Roman" w:cs="Times New Roman"/>
                <w:color w:val="000000"/>
                <w:sz w:val="24"/>
                <w:szCs w:val="24"/>
              </w:rPr>
            </w:pPr>
            <w:r w:rsidRPr="00490E09">
              <w:rPr>
                <w:rFonts w:ascii="Times New Roman" w:eastAsia="Times New Roman" w:hAnsi="Times New Roman" w:cs="Times New Roman"/>
                <w:color w:val="000000"/>
                <w:sz w:val="24"/>
                <w:szCs w:val="24"/>
              </w:rPr>
              <w:t>IV:837-248</w:t>
            </w:r>
          </w:p>
          <w:p w:rsidR="00A97D0D" w:rsidRPr="00490E09" w:rsidRDefault="00A97D0D" w:rsidP="00D70DDC">
            <w:pPr>
              <w:rPr>
                <w:rFonts w:ascii="Times New Roman" w:hAnsi="Times New Roman" w:cs="Times New Roman"/>
                <w:sz w:val="24"/>
                <w:szCs w:val="24"/>
              </w:rPr>
            </w:pPr>
            <w:r w:rsidRPr="00490E09">
              <w:rPr>
                <w:rFonts w:ascii="Times New Roman" w:eastAsia="Times New Roman" w:hAnsi="Times New Roman" w:cs="Times New Roman"/>
                <w:color w:val="000000"/>
                <w:sz w:val="24"/>
                <w:szCs w:val="24"/>
              </w:rPr>
              <w:t>(ng/ml)</w:t>
            </w:r>
          </w:p>
        </w:tc>
        <w:tc>
          <w:tcPr>
            <w:tcW w:w="2181" w:type="dxa"/>
          </w:tcPr>
          <w:p w:rsidR="00A97D0D" w:rsidRPr="00490E09" w:rsidRDefault="00A97D0D" w:rsidP="00D70DDC">
            <w:pPr>
              <w:autoSpaceDE w:val="0"/>
              <w:autoSpaceDN w:val="0"/>
              <w:adjustRightInd w:val="0"/>
              <w:rPr>
                <w:rFonts w:ascii="Times New Roman" w:eastAsia="Times New Roman" w:hAnsi="Times New Roman" w:cs="Times New Roman"/>
                <w:color w:val="000000"/>
                <w:sz w:val="24"/>
                <w:szCs w:val="24"/>
              </w:rPr>
            </w:pPr>
            <w:r w:rsidRPr="00490E09">
              <w:rPr>
                <w:rFonts w:ascii="Times New Roman" w:eastAsia="Times New Roman" w:hAnsi="Times New Roman" w:cs="Times New Roman"/>
                <w:color w:val="000000"/>
                <w:sz w:val="24"/>
                <w:szCs w:val="24"/>
              </w:rPr>
              <w:t>15-30 ng/ml (for malaria)</w:t>
            </w:r>
          </w:p>
          <w:p w:rsidR="00A97D0D" w:rsidRPr="00490E09" w:rsidRDefault="00A97D0D" w:rsidP="00D70DDC">
            <w:pPr>
              <w:autoSpaceDE w:val="0"/>
              <w:autoSpaceDN w:val="0"/>
              <w:adjustRightInd w:val="0"/>
              <w:rPr>
                <w:rFonts w:ascii="Times New Roman" w:eastAsia="Times New Roman" w:hAnsi="Times New Roman" w:cs="Times New Roman"/>
                <w:color w:val="000000"/>
                <w:sz w:val="24"/>
                <w:szCs w:val="24"/>
              </w:rPr>
            </w:pPr>
          </w:p>
          <w:p w:rsidR="00A97D0D" w:rsidRPr="00490E09" w:rsidRDefault="00A97D0D" w:rsidP="00D70DDC">
            <w:pPr>
              <w:autoSpaceDE w:val="0"/>
              <w:autoSpaceDN w:val="0"/>
              <w:adjustRightInd w:val="0"/>
              <w:rPr>
                <w:rFonts w:ascii="Times New Roman" w:eastAsia="Times New Roman" w:hAnsi="Times New Roman" w:cs="Times New Roman"/>
                <w:color w:val="000000"/>
                <w:sz w:val="24"/>
                <w:szCs w:val="24"/>
              </w:rPr>
            </w:pPr>
            <w:r w:rsidRPr="00490E09">
              <w:rPr>
                <w:rFonts w:ascii="Times New Roman" w:eastAsia="Times New Roman" w:hAnsi="Times New Roman" w:cs="Times New Roman"/>
                <w:color w:val="000000"/>
                <w:sz w:val="24"/>
                <w:szCs w:val="24"/>
              </w:rPr>
              <w:t>EC50 value for chloroquine is 1.13 µM</w:t>
            </w:r>
          </w:p>
          <w:p w:rsidR="00A97D0D" w:rsidRPr="00490E09" w:rsidRDefault="00A97D0D" w:rsidP="00D70DDC">
            <w:pPr>
              <w:autoSpaceDE w:val="0"/>
              <w:autoSpaceDN w:val="0"/>
              <w:adjustRightInd w:val="0"/>
              <w:rPr>
                <w:rFonts w:ascii="Times New Roman" w:eastAsia="Times New Roman" w:hAnsi="Times New Roman" w:cs="Times New Roman"/>
                <w:color w:val="000000"/>
                <w:sz w:val="24"/>
                <w:szCs w:val="24"/>
              </w:rPr>
            </w:pPr>
          </w:p>
          <w:p w:rsidR="00A97D0D" w:rsidRPr="00490E09" w:rsidRDefault="00A97D0D" w:rsidP="00D70DDC">
            <w:pPr>
              <w:autoSpaceDE w:val="0"/>
              <w:autoSpaceDN w:val="0"/>
              <w:adjustRightInd w:val="0"/>
              <w:rPr>
                <w:rFonts w:ascii="Times New Roman" w:eastAsia="Times New Roman" w:hAnsi="Times New Roman" w:cs="Times New Roman"/>
                <w:color w:val="000000"/>
                <w:sz w:val="24"/>
                <w:szCs w:val="24"/>
              </w:rPr>
            </w:pPr>
          </w:p>
          <w:p w:rsidR="00A97D0D" w:rsidRPr="00490E09" w:rsidRDefault="00A97D0D" w:rsidP="00D70DDC">
            <w:pPr>
              <w:autoSpaceDE w:val="0"/>
              <w:autoSpaceDN w:val="0"/>
              <w:adjustRightInd w:val="0"/>
              <w:rPr>
                <w:rFonts w:ascii="Times New Roman" w:eastAsia="Times New Roman" w:hAnsi="Times New Roman" w:cs="Times New Roman"/>
                <w:color w:val="000000"/>
                <w:sz w:val="24"/>
                <w:szCs w:val="24"/>
              </w:rPr>
            </w:pPr>
          </w:p>
          <w:p w:rsidR="00A97D0D" w:rsidRPr="00490E09" w:rsidRDefault="00A97D0D" w:rsidP="00D70DDC">
            <w:pPr>
              <w:rPr>
                <w:rFonts w:ascii="Times New Roman" w:hAnsi="Times New Roman" w:cs="Times New Roman"/>
                <w:sz w:val="24"/>
                <w:szCs w:val="24"/>
              </w:rPr>
            </w:pPr>
            <w:r w:rsidRPr="00490E09">
              <w:rPr>
                <w:rFonts w:ascii="Times New Roman" w:eastAsia="Times New Roman" w:hAnsi="Times New Roman" w:cs="Times New Roman"/>
                <w:color w:val="000000"/>
                <w:sz w:val="24"/>
                <w:szCs w:val="24"/>
              </w:rPr>
              <w:t xml:space="preserve">against SARS-CoV-2 with an EC50 at 48 hours of 1.13 µM in Vero E6 </w:t>
            </w:r>
            <w:r w:rsidRPr="00490E09">
              <w:rPr>
                <w:rFonts w:ascii="Times New Roman" w:eastAsia="Times New Roman" w:hAnsi="Times New Roman" w:cs="Times New Roman"/>
                <w:color w:val="000000"/>
                <w:sz w:val="24"/>
                <w:szCs w:val="24"/>
              </w:rPr>
              <w:lastRenderedPageBreak/>
              <w:t>cells</w:t>
            </w:r>
          </w:p>
        </w:tc>
        <w:tc>
          <w:tcPr>
            <w:tcW w:w="1097" w:type="dxa"/>
          </w:tcPr>
          <w:p w:rsidR="00A97D0D" w:rsidRPr="00490E09" w:rsidRDefault="00A97D0D" w:rsidP="00D70DDC">
            <w:pPr>
              <w:rPr>
                <w:rFonts w:ascii="Times New Roman" w:hAnsi="Times New Roman" w:cs="Times New Roman"/>
                <w:sz w:val="24"/>
                <w:szCs w:val="24"/>
              </w:rPr>
            </w:pPr>
            <w:r w:rsidRPr="00490E09">
              <w:rPr>
                <w:rFonts w:ascii="Times New Roman" w:hAnsi="Times New Roman" w:cs="Times New Roman"/>
                <w:sz w:val="24"/>
                <w:szCs w:val="24"/>
              </w:rPr>
              <w:lastRenderedPageBreak/>
              <w:t>0.35-1L/h/kg</w:t>
            </w:r>
          </w:p>
        </w:tc>
        <w:tc>
          <w:tcPr>
            <w:tcW w:w="933" w:type="dxa"/>
          </w:tcPr>
          <w:p w:rsidR="00A97D0D" w:rsidRPr="00490E09" w:rsidRDefault="00A97D0D" w:rsidP="00D70DDC">
            <w:pPr>
              <w:rPr>
                <w:rFonts w:ascii="Times New Roman" w:hAnsi="Times New Roman" w:cs="Times New Roman"/>
                <w:sz w:val="24"/>
                <w:szCs w:val="24"/>
              </w:rPr>
            </w:pPr>
            <w:r w:rsidRPr="00490E09">
              <w:rPr>
                <w:rFonts w:ascii="Times New Roman" w:eastAsia="Times New Roman" w:hAnsi="Times New Roman" w:cs="Times New Roman"/>
                <w:color w:val="000000"/>
                <w:sz w:val="24"/>
                <w:szCs w:val="24"/>
              </w:rPr>
              <w:t>10-24 days</w:t>
            </w:r>
          </w:p>
        </w:tc>
        <w:tc>
          <w:tcPr>
            <w:tcW w:w="1460" w:type="dxa"/>
          </w:tcPr>
          <w:p w:rsidR="00A97D0D" w:rsidRPr="00490E09" w:rsidRDefault="00A97D0D" w:rsidP="00D70DDC">
            <w:pPr>
              <w:autoSpaceDE w:val="0"/>
              <w:autoSpaceDN w:val="0"/>
              <w:adjustRightInd w:val="0"/>
              <w:rPr>
                <w:rFonts w:ascii="Times New Roman" w:eastAsia="Times New Roman" w:hAnsi="Times New Roman" w:cs="Times New Roman"/>
                <w:color w:val="000000"/>
                <w:sz w:val="24"/>
                <w:szCs w:val="24"/>
              </w:rPr>
            </w:pPr>
            <w:r w:rsidRPr="00490E09">
              <w:rPr>
                <w:rFonts w:ascii="Times New Roman" w:eastAsia="Times New Roman" w:hAnsi="Times New Roman" w:cs="Times New Roman"/>
                <w:color w:val="000000"/>
                <w:sz w:val="24"/>
                <w:szCs w:val="24"/>
              </w:rPr>
              <w:t>CYP3A4 and CYP2C8 (S)/ CYP2D6 (S INH)</w:t>
            </w:r>
          </w:p>
          <w:p w:rsidR="00A97D0D" w:rsidRPr="00490E09" w:rsidRDefault="00A97D0D" w:rsidP="00D70DDC">
            <w:pPr>
              <w:rPr>
                <w:rFonts w:ascii="Times New Roman" w:hAnsi="Times New Roman" w:cs="Times New Roman"/>
                <w:sz w:val="24"/>
                <w:szCs w:val="24"/>
              </w:rPr>
            </w:pPr>
          </w:p>
        </w:tc>
        <w:tc>
          <w:tcPr>
            <w:tcW w:w="882" w:type="dxa"/>
          </w:tcPr>
          <w:p w:rsidR="00A97D0D" w:rsidRPr="00490E09" w:rsidRDefault="00A97D0D" w:rsidP="00D70DDC">
            <w:pPr>
              <w:rPr>
                <w:rFonts w:ascii="Times New Roman" w:hAnsi="Times New Roman" w:cs="Times New Roman"/>
                <w:sz w:val="24"/>
                <w:szCs w:val="24"/>
              </w:rPr>
            </w:pPr>
            <w:r w:rsidRPr="00490E09">
              <w:rPr>
                <w:rFonts w:ascii="Times New Roman" w:hAnsi="Times New Roman" w:cs="Times New Roman"/>
                <w:sz w:val="24"/>
                <w:szCs w:val="24"/>
              </w:rPr>
              <w:t>CYP2D6 =</w:t>
            </w:r>
          </w:p>
          <w:p w:rsidR="00A97D0D" w:rsidRPr="00490E09" w:rsidRDefault="00A97D0D" w:rsidP="00D70DDC">
            <w:pPr>
              <w:rPr>
                <w:rFonts w:ascii="Times New Roman" w:hAnsi="Times New Roman" w:cs="Times New Roman"/>
                <w:sz w:val="24"/>
                <w:szCs w:val="24"/>
              </w:rPr>
            </w:pPr>
            <w:r w:rsidRPr="00490E09">
              <w:rPr>
                <w:rFonts w:ascii="Times New Roman" w:hAnsi="Times New Roman" w:cs="Times New Roman"/>
                <w:sz w:val="24"/>
                <w:szCs w:val="24"/>
              </w:rPr>
              <w:t>44 µmol/L</w:t>
            </w:r>
          </w:p>
        </w:tc>
      </w:tr>
      <w:tr w:rsidR="00A97D0D" w:rsidRPr="00490E09" w:rsidTr="00834DDA">
        <w:trPr>
          <w:trHeight w:val="260"/>
        </w:trPr>
        <w:tc>
          <w:tcPr>
            <w:tcW w:w="1012" w:type="dxa"/>
            <w:vMerge/>
          </w:tcPr>
          <w:p w:rsidR="00A97D0D" w:rsidRPr="00490E09" w:rsidRDefault="00A97D0D" w:rsidP="00D70DDC">
            <w:pPr>
              <w:tabs>
                <w:tab w:val="left" w:pos="625"/>
              </w:tabs>
              <w:rPr>
                <w:rFonts w:ascii="Times New Roman" w:hAnsi="Times New Roman" w:cs="Times New Roman"/>
                <w:sz w:val="24"/>
                <w:szCs w:val="24"/>
              </w:rPr>
            </w:pPr>
          </w:p>
        </w:tc>
        <w:tc>
          <w:tcPr>
            <w:tcW w:w="2498" w:type="dxa"/>
          </w:tcPr>
          <w:p w:rsidR="00A97D0D" w:rsidRPr="00490E09" w:rsidRDefault="00A97D0D" w:rsidP="00516AC8">
            <w:pPr>
              <w:rPr>
                <w:rFonts w:ascii="Times New Roman" w:hAnsi="Times New Roman" w:cs="Times New Roman"/>
                <w:sz w:val="24"/>
                <w:szCs w:val="24"/>
              </w:rPr>
            </w:pPr>
            <w:r w:rsidRPr="00490E09">
              <w:rPr>
                <w:rFonts w:ascii="Times New Roman" w:eastAsia="Times New Roman" w:hAnsi="Times New Roman" w:cs="Times New Roman"/>
                <w:b/>
                <w:bCs/>
                <w:color w:val="000000"/>
                <w:sz w:val="24"/>
                <w:szCs w:val="24"/>
              </w:rPr>
              <w:t>Hydroxychloroquine</w:t>
            </w:r>
            <w:r w:rsidR="00227D05" w:rsidRPr="00490E09">
              <w:rPr>
                <w:rFonts w:ascii="Times New Roman" w:eastAsia="Times New Roman" w:hAnsi="Times New Roman" w:cs="Times New Roman"/>
                <w:b/>
                <w:bCs/>
                <w:color w:val="000000"/>
                <w:sz w:val="24"/>
                <w:szCs w:val="24"/>
              </w:rPr>
              <w:fldChar w:fldCharType="begin" w:fldLock="1"/>
            </w:r>
            <w:r w:rsidR="00516AC8">
              <w:rPr>
                <w:rFonts w:ascii="Times New Roman" w:eastAsia="Times New Roman" w:hAnsi="Times New Roman" w:cs="Times New Roman"/>
                <w:b/>
                <w:bCs/>
                <w:color w:val="000000"/>
                <w:sz w:val="24"/>
                <w:szCs w:val="24"/>
              </w:rPr>
              <w:instrText>ADDIN CSL_CITATION {"citationItems":[{"id":"ITEM-1","itemData":{"abstract":"McCreary, E.K. and J.M. Pogue. Coronavirus Disease 2019 Treatment: A Review of Early and Emerging Options. in Open Forum Infectious Diseases. 2020: Oxford University Press US","author":[{"dropping-particle":"","family":"McCreary","given":"E.K. and J.M. Pogue","non-dropping-particle":"","parse-names":false,"suffix":""}],"container-title":"Open Forum Infectious Diseases","id":"ITEM-1","issued":{"date-parts":[["2020"]]},"title":"Coronavirus Disease 2019 Treatment: A Review of Early and Emerging Options","type":"article-journal"},"uris":["http://www.mendeley.com/documents/?uuid=c9031e4c-a56c-4c94-b502-a77221597cce","http://www.mendeley.com/documents/?uuid=54baecf0-d1e0-4bd1-8351-415551960201"]}],"mendeley":{"formattedCitation":"&lt;sup&gt;1&lt;/sup&gt;","plainTextFormattedCitation":"1","previouslyFormattedCitation":"(1)"},"properties":{"noteIndex":0},"schema":"https://github.com/citation-style-language/schema/raw/master/csl-citation.json"}</w:instrText>
            </w:r>
            <w:r w:rsidR="00227D05" w:rsidRPr="00490E09">
              <w:rPr>
                <w:rFonts w:ascii="Times New Roman" w:eastAsia="Times New Roman" w:hAnsi="Times New Roman" w:cs="Times New Roman"/>
                <w:b/>
                <w:bCs/>
                <w:color w:val="000000"/>
                <w:sz w:val="24"/>
                <w:szCs w:val="24"/>
              </w:rPr>
              <w:fldChar w:fldCharType="separate"/>
            </w:r>
            <w:r w:rsidR="00516AC8" w:rsidRPr="00516AC8">
              <w:rPr>
                <w:rFonts w:ascii="Times New Roman" w:eastAsia="Times New Roman" w:hAnsi="Times New Roman" w:cs="Times New Roman"/>
                <w:bCs/>
                <w:noProof/>
                <w:color w:val="000000"/>
                <w:sz w:val="24"/>
                <w:szCs w:val="24"/>
                <w:vertAlign w:val="superscript"/>
              </w:rPr>
              <w:t>1</w:t>
            </w:r>
            <w:r w:rsidR="00227D05" w:rsidRPr="00490E09">
              <w:rPr>
                <w:rFonts w:ascii="Times New Roman" w:eastAsia="Times New Roman" w:hAnsi="Times New Roman" w:cs="Times New Roman"/>
                <w:b/>
                <w:bCs/>
                <w:color w:val="000000"/>
                <w:sz w:val="24"/>
                <w:szCs w:val="24"/>
              </w:rPr>
              <w:fldChar w:fldCharType="end"/>
            </w:r>
            <w:r w:rsidR="00227D05" w:rsidRPr="00490E09">
              <w:rPr>
                <w:rFonts w:ascii="Times New Roman" w:eastAsia="Times New Roman" w:hAnsi="Times New Roman" w:cs="Times New Roman"/>
                <w:b/>
                <w:bCs/>
                <w:color w:val="000000"/>
                <w:sz w:val="24"/>
                <w:szCs w:val="24"/>
              </w:rPr>
              <w:fldChar w:fldCharType="begin" w:fldLock="1"/>
            </w:r>
            <w:r w:rsidR="00516AC8">
              <w:rPr>
                <w:rFonts w:ascii="Times New Roman" w:eastAsia="Times New Roman" w:hAnsi="Times New Roman" w:cs="Times New Roman"/>
                <w:b/>
                <w:bCs/>
                <w:color w:val="000000"/>
                <w:sz w:val="24"/>
                <w:szCs w:val="24"/>
              </w:rPr>
              <w:instrText>ADDIN CSL_CITATION {"citationItems":[{"id":"ITEM-1","itemData":{"abstract":"Thummel, K.E., D.D. Shen, and N. Isoherranen, Design and optimization of dosage regimens: pharmacokinetic data, in Goodman and Gilman’s the pharmacological basis of therapeutics, H.-D.R. Brunton LL, Knollmann BC., Editor. 2018 . New York: McGraw Hill. 2018;, McGraw Hill: New York. p. 1325-1378.","author":[{"dropping-particle":"","family":"Thummel, K.E., D.D. Shen","given":"and N. Isoherranen","non-dropping-particle":"","parse-names":false,"suffix":""}],"edition":"11","editor":[{"dropping-particle":"","family":"-D.R. Brunton LL, Knollmann BC.","given":"Editor","non-dropping-particle":"","parse-names":false,"suffix":""}],"id":"ITEM-1","issued":{"date-parts":[["2018"]]},"number-of-pages":"1325-1378","publisher":"McGraw Hil","publisher-place":"New-York","title":"Design and optimization of dosage regimens: pharmacokinetic data, in Goodman and Gilman’s the pharmacological basis of therapeutics","type":"book"},"uris":["http://www.mendeley.com/documents/?uuid=769642f9-969a-4c7f-bb91-f290e7ec4cab","http://www.mendeley.com/documents/?uuid=47c47bf6-f69a-4b8b-959c-e7d121fe3fd4"]}],"mendeley":{"formattedCitation":"&lt;sup&gt;4&lt;/sup&gt;","plainTextFormattedCitation":"4","previouslyFormattedCitation":"(4)"},"properties":{"noteIndex":0},"schema":"https://github.com/citation-style-language/schema/raw/master/csl-citation.json"}</w:instrText>
            </w:r>
            <w:r w:rsidR="00227D05" w:rsidRPr="00490E09">
              <w:rPr>
                <w:rFonts w:ascii="Times New Roman" w:eastAsia="Times New Roman" w:hAnsi="Times New Roman" w:cs="Times New Roman"/>
                <w:b/>
                <w:bCs/>
                <w:color w:val="000000"/>
                <w:sz w:val="24"/>
                <w:szCs w:val="24"/>
              </w:rPr>
              <w:fldChar w:fldCharType="separate"/>
            </w:r>
            <w:r w:rsidR="00516AC8" w:rsidRPr="00516AC8">
              <w:rPr>
                <w:rFonts w:ascii="Times New Roman" w:eastAsia="Times New Roman" w:hAnsi="Times New Roman" w:cs="Times New Roman"/>
                <w:bCs/>
                <w:noProof/>
                <w:color w:val="000000"/>
                <w:sz w:val="24"/>
                <w:szCs w:val="24"/>
                <w:vertAlign w:val="superscript"/>
              </w:rPr>
              <w:t>4</w:t>
            </w:r>
            <w:r w:rsidR="00227D05" w:rsidRPr="00490E09">
              <w:rPr>
                <w:rFonts w:ascii="Times New Roman" w:eastAsia="Times New Roman" w:hAnsi="Times New Roman" w:cs="Times New Roman"/>
                <w:b/>
                <w:bCs/>
                <w:color w:val="000000"/>
                <w:sz w:val="24"/>
                <w:szCs w:val="24"/>
              </w:rPr>
              <w:fldChar w:fldCharType="end"/>
            </w:r>
            <w:r w:rsidR="00227D05" w:rsidRPr="00490E09">
              <w:rPr>
                <w:rFonts w:ascii="Times New Roman" w:eastAsia="Times New Roman" w:hAnsi="Times New Roman" w:cs="Times New Roman"/>
                <w:b/>
                <w:bCs/>
                <w:color w:val="000000"/>
                <w:sz w:val="24"/>
                <w:szCs w:val="24"/>
              </w:rPr>
              <w:fldChar w:fldCharType="begin" w:fldLock="1"/>
            </w:r>
            <w:r w:rsidR="00516AC8">
              <w:rPr>
                <w:rFonts w:ascii="Times New Roman" w:eastAsia="Times New Roman" w:hAnsi="Times New Roman" w:cs="Times New Roman"/>
                <w:b/>
                <w:bCs/>
                <w:color w:val="000000"/>
                <w:sz w:val="24"/>
                <w:szCs w:val="24"/>
              </w:rPr>
              <w:instrText>ADDIN CSL_CITATION {"citationItems":[{"id":"ITEM-1","itemData":{"DOI":"10.1124/dmd.31.6.748","ISSN":"00909556","abstract":"In humans, the antimalarial drug chloroquine (CQ) is metabolized into one major metabolite, N-desethylchloroquine (DCQ). Using human liver microsomes (HLM) and recombinant human cytochrome P450 (P450), we performed studies to identify the P450 isoform(s) involved in the N-desethylation of CQ. In HLM incubated with CQ, only DCQ could be detected. Apparent Km and Vmax values (mean ± S.D.) for metabolite formation were 444 ± 121 μM and 617 ± 128 pmol/min/mg protein, respectively. In microsomes from a panel of 16 human livers phenotyped for 10 different P450 isoforms, DCQ formation was highly correlated with testosterone 6/β-hydroxylation (r = 0.80; p &lt; 0.001), a CYP3A-mediated reaction, and CYP2C8-mediated paclitaxel α-hydroxylation (r = 0.82; p &lt; 0.001). CQ N-desethylation was diminished when coincubated with quercetin (20-40% inhibition), ketoconazole, or troleandomycin (20-30% inhibition) and was strongly inhibited (80% inhibition) by a combination of ketoconazole and quercetin, which further corroborates the contribution of CYP2C8 and CYP3As. Of 10 cDNA- expressed human P450s examined, only CYP1A1, CYP2D6, CYP3A4, and CYP2C8 produced DCQ. CYP2C8 and CYP3A4 constituted low-affinity/high-capacity systems, whereas CYP2D6 was associated with higher affinity but a significantly lower capacity. This property may explain the ability of CQ to inhibit CYP2D6-mediated metabolism in vitro and in vivo. At therapeutically relevant concentrations (</w:instrText>
            </w:r>
            <w:r w:rsidR="00516AC8">
              <w:rPr>
                <w:rFonts w:ascii="Cambria Math" w:eastAsia="Times New Roman" w:hAnsi="Cambria Math" w:cs="Cambria Math"/>
                <w:b/>
                <w:bCs/>
                <w:color w:val="000000"/>
                <w:sz w:val="24"/>
                <w:szCs w:val="24"/>
              </w:rPr>
              <w:instrText>∼</w:instrText>
            </w:r>
            <w:r w:rsidR="00516AC8">
              <w:rPr>
                <w:rFonts w:ascii="Times New Roman" w:eastAsia="Times New Roman" w:hAnsi="Times New Roman" w:cs="Times New Roman"/>
                <w:b/>
                <w:bCs/>
                <w:color w:val="000000"/>
                <w:sz w:val="24"/>
                <w:szCs w:val="24"/>
              </w:rPr>
              <w:instrText>100 μM CQ in the liver), CYP2C8, CYP3A4, and, to a much lesser extent, CYP2D6 are expected to account for most of the CQ N-desethylation.","author":[{"dropping-particle":"","family":"Projean","given":"Denis","non-dropping-particle":"","parse-names":false,"suffix":""},{"dropping-particle":"","family":"Baune","given":"Bruno","non-dropping-particle":"","parse-names":false,"suffix":""},{"dropping-particle":"","family":"Farinotti","given":"Robert","non-dropping-particle":"","parse-names":false,"suffix":""},{"dropping-particle":"","family":"Flinois","given":"Jean Pierre","non-dropping-particle":"","parse-names":false,"suffix":""},{"dropping-particle":"","family":"Beaune","given":"Philippe","non-dropping-particle":"","parse-names":false,"suffix":""},{"dropping-particle":"","family":"Taburet","given":"Anne Marie","non-dropping-particle":"","parse-names":false,"suffix":""},{"dropping-particle":"","family":"Ducharme","given":"Julie","non-dropping-particle":"","parse-names":false,"suffix":""}],"container-title":"Drug Metabolism and Disposition","id":"ITEM-1","issue":"6","issued":{"date-parts":[["2003"]]},"page":"748-754","title":"In vitro metabolism of chloroquine: Identification of CYP2C8, CYP3A4, and CYP2D6 as the main isoforms catalyzing N-desethylchloroquine formation","type":"article-journal","volume":"31"},"uris":["http://www.mendeley.com/documents/?uuid=8a7c5ea9-f8a3-4c6e-9907-1b490ba1a775","http://www.mendeley.com/documents/?uuid=47e3127a-ea9e-4cd3-84ed-8c72479b2706"]}],"mendeley":{"formattedCitation":"&lt;sup&gt;5&lt;/sup&gt;","plainTextFormattedCitation":"5","previouslyFormattedCitation":"(5)"},"properties":{"noteIndex":0},"schema":"https://github.com/citation-style-language/schema/raw/master/csl-citation.json"}</w:instrText>
            </w:r>
            <w:r w:rsidR="00227D05" w:rsidRPr="00490E09">
              <w:rPr>
                <w:rFonts w:ascii="Times New Roman" w:eastAsia="Times New Roman" w:hAnsi="Times New Roman" w:cs="Times New Roman"/>
                <w:b/>
                <w:bCs/>
                <w:color w:val="000000"/>
                <w:sz w:val="24"/>
                <w:szCs w:val="24"/>
              </w:rPr>
              <w:fldChar w:fldCharType="separate"/>
            </w:r>
            <w:r w:rsidR="00516AC8" w:rsidRPr="00516AC8">
              <w:rPr>
                <w:rFonts w:ascii="Times New Roman" w:eastAsia="Times New Roman" w:hAnsi="Times New Roman" w:cs="Times New Roman"/>
                <w:bCs/>
                <w:noProof/>
                <w:color w:val="000000"/>
                <w:sz w:val="24"/>
                <w:szCs w:val="24"/>
                <w:vertAlign w:val="superscript"/>
              </w:rPr>
              <w:t>5</w:t>
            </w:r>
            <w:r w:rsidR="00227D05" w:rsidRPr="00490E09">
              <w:rPr>
                <w:rFonts w:ascii="Times New Roman" w:eastAsia="Times New Roman" w:hAnsi="Times New Roman" w:cs="Times New Roman"/>
                <w:b/>
                <w:bCs/>
                <w:color w:val="000000"/>
                <w:sz w:val="24"/>
                <w:szCs w:val="24"/>
              </w:rPr>
              <w:fldChar w:fldCharType="end"/>
            </w:r>
            <w:r w:rsidRPr="00490E09">
              <w:rPr>
                <w:rFonts w:ascii="Times New Roman" w:eastAsia="Times New Roman" w:hAnsi="Times New Roman" w:cs="Times New Roman"/>
                <w:b/>
                <w:bCs/>
                <w:color w:val="000000"/>
                <w:sz w:val="24"/>
                <w:szCs w:val="24"/>
              </w:rPr>
              <w:t>:</w:t>
            </w:r>
            <w:r w:rsidRPr="00490E09">
              <w:rPr>
                <w:rFonts w:ascii="Times New Roman" w:eastAsia="Times New Roman" w:hAnsi="Times New Roman" w:cs="Times New Roman"/>
                <w:color w:val="000000"/>
                <w:sz w:val="24"/>
                <w:szCs w:val="24"/>
              </w:rPr>
              <w:t>(800 mg x 2 loading dose followed by 400 mg x 2 every day for a total of 10 days)</w:t>
            </w:r>
          </w:p>
        </w:tc>
        <w:tc>
          <w:tcPr>
            <w:tcW w:w="1560" w:type="dxa"/>
          </w:tcPr>
          <w:p w:rsidR="00A97D0D" w:rsidRPr="00490E09" w:rsidRDefault="00A97D0D" w:rsidP="00D70DDC">
            <w:pPr>
              <w:autoSpaceDE w:val="0"/>
              <w:autoSpaceDN w:val="0"/>
              <w:adjustRightInd w:val="0"/>
              <w:rPr>
                <w:rFonts w:ascii="Times New Roman" w:eastAsia="Times New Roman" w:hAnsi="Times New Roman" w:cs="Times New Roman"/>
                <w:color w:val="000000"/>
                <w:sz w:val="24"/>
                <w:szCs w:val="24"/>
              </w:rPr>
            </w:pPr>
            <w:r w:rsidRPr="00490E09">
              <w:rPr>
                <w:rFonts w:ascii="Times New Roman" w:eastAsia="Times New Roman" w:hAnsi="Times New Roman" w:cs="Times New Roman"/>
                <w:color w:val="000000"/>
                <w:sz w:val="24"/>
                <w:szCs w:val="24"/>
              </w:rPr>
              <w:t>45±03</w:t>
            </w:r>
          </w:p>
        </w:tc>
        <w:tc>
          <w:tcPr>
            <w:tcW w:w="992" w:type="dxa"/>
          </w:tcPr>
          <w:p w:rsidR="00A97D0D" w:rsidRPr="00490E09" w:rsidRDefault="00A97D0D" w:rsidP="00D70DDC">
            <w:pPr>
              <w:rPr>
                <w:rFonts w:ascii="Times New Roman" w:hAnsi="Times New Roman" w:cs="Times New Roman"/>
                <w:sz w:val="24"/>
                <w:szCs w:val="24"/>
              </w:rPr>
            </w:pPr>
            <w:r w:rsidRPr="00490E09">
              <w:rPr>
                <w:rFonts w:ascii="Times New Roman" w:hAnsi="Times New Roman" w:cs="Times New Roman"/>
                <w:sz w:val="24"/>
                <w:szCs w:val="24"/>
              </w:rPr>
              <w:t>50</w:t>
            </w:r>
          </w:p>
        </w:tc>
        <w:tc>
          <w:tcPr>
            <w:tcW w:w="1559" w:type="dxa"/>
          </w:tcPr>
          <w:p w:rsidR="00A97D0D" w:rsidRPr="00490E09" w:rsidRDefault="00A97D0D" w:rsidP="00D70DDC">
            <w:pPr>
              <w:rPr>
                <w:rFonts w:ascii="Times New Roman" w:hAnsi="Times New Roman" w:cs="Times New Roman"/>
                <w:sz w:val="24"/>
                <w:szCs w:val="24"/>
              </w:rPr>
            </w:pPr>
            <w:r w:rsidRPr="00490E09">
              <w:rPr>
                <w:rFonts w:ascii="Times New Roman" w:eastAsia="Times New Roman" w:hAnsi="Times New Roman" w:cs="Times New Roman"/>
                <w:color w:val="000000"/>
                <w:sz w:val="24"/>
                <w:szCs w:val="24"/>
              </w:rPr>
              <w:t>46 (34-79)</w:t>
            </w:r>
          </w:p>
        </w:tc>
        <w:tc>
          <w:tcPr>
            <w:tcW w:w="2181" w:type="dxa"/>
          </w:tcPr>
          <w:p w:rsidR="00A97D0D" w:rsidRPr="00490E09" w:rsidRDefault="00A97D0D" w:rsidP="00D70DDC">
            <w:pPr>
              <w:rPr>
                <w:rFonts w:ascii="Times New Roman" w:hAnsi="Times New Roman" w:cs="Times New Roman"/>
                <w:sz w:val="24"/>
                <w:szCs w:val="24"/>
              </w:rPr>
            </w:pPr>
            <w:r w:rsidRPr="00490E09">
              <w:rPr>
                <w:rFonts w:ascii="Times New Roman" w:hAnsi="Times New Roman" w:cs="Times New Roman"/>
                <w:sz w:val="24"/>
                <w:szCs w:val="24"/>
              </w:rPr>
              <w:t>against SARS-CoV-2 with an EC50 of 0.72 µM in Vero E6 cells</w:t>
            </w:r>
          </w:p>
        </w:tc>
        <w:tc>
          <w:tcPr>
            <w:tcW w:w="1097" w:type="dxa"/>
          </w:tcPr>
          <w:p w:rsidR="00A97D0D" w:rsidRPr="00490E09" w:rsidRDefault="00A97D0D" w:rsidP="00D70DDC">
            <w:pPr>
              <w:rPr>
                <w:rFonts w:ascii="Times New Roman" w:hAnsi="Times New Roman" w:cs="Times New Roman"/>
                <w:sz w:val="24"/>
                <w:szCs w:val="24"/>
              </w:rPr>
            </w:pPr>
            <w:r w:rsidRPr="00490E09">
              <w:rPr>
                <w:rFonts w:ascii="Times New Roman" w:hAnsi="Times New Roman" w:cs="Times New Roman"/>
                <w:sz w:val="24"/>
                <w:szCs w:val="24"/>
              </w:rPr>
              <w:t>96 mL/min</w:t>
            </w:r>
          </w:p>
        </w:tc>
        <w:tc>
          <w:tcPr>
            <w:tcW w:w="933" w:type="dxa"/>
          </w:tcPr>
          <w:p w:rsidR="00A97D0D" w:rsidRPr="00490E09" w:rsidRDefault="00A97D0D" w:rsidP="00D70DDC">
            <w:pPr>
              <w:autoSpaceDE w:val="0"/>
              <w:autoSpaceDN w:val="0"/>
              <w:adjustRightInd w:val="0"/>
              <w:rPr>
                <w:rFonts w:ascii="Times New Roman" w:eastAsia="Times New Roman" w:hAnsi="Times New Roman" w:cs="Times New Roman"/>
                <w:color w:val="000000"/>
                <w:sz w:val="24"/>
                <w:szCs w:val="24"/>
              </w:rPr>
            </w:pPr>
            <w:r w:rsidRPr="00490E09">
              <w:rPr>
                <w:rFonts w:ascii="Times New Roman" w:eastAsia="Times New Roman" w:hAnsi="Times New Roman" w:cs="Times New Roman"/>
                <w:color w:val="000000"/>
                <w:sz w:val="24"/>
                <w:szCs w:val="24"/>
              </w:rPr>
              <w:t>44</w:t>
            </w:r>
          </w:p>
          <w:p w:rsidR="00A97D0D" w:rsidRPr="00490E09" w:rsidRDefault="00A97D0D" w:rsidP="00D70DDC">
            <w:pPr>
              <w:rPr>
                <w:rFonts w:ascii="Times New Roman" w:hAnsi="Times New Roman" w:cs="Times New Roman"/>
                <w:sz w:val="24"/>
                <w:szCs w:val="24"/>
              </w:rPr>
            </w:pPr>
            <w:r w:rsidRPr="00490E09">
              <w:rPr>
                <w:rFonts w:ascii="Times New Roman" w:eastAsia="Times New Roman" w:hAnsi="Times New Roman" w:cs="Times New Roman"/>
                <w:color w:val="000000"/>
                <w:sz w:val="24"/>
                <w:szCs w:val="24"/>
              </w:rPr>
              <w:t>(26-63) days</w:t>
            </w:r>
          </w:p>
        </w:tc>
        <w:tc>
          <w:tcPr>
            <w:tcW w:w="1460" w:type="dxa"/>
          </w:tcPr>
          <w:p w:rsidR="00A97D0D" w:rsidRPr="00490E09" w:rsidRDefault="00A97D0D" w:rsidP="00D70DDC">
            <w:pPr>
              <w:rPr>
                <w:rFonts w:ascii="Times New Roman" w:hAnsi="Times New Roman" w:cs="Times New Roman"/>
                <w:sz w:val="24"/>
                <w:szCs w:val="24"/>
              </w:rPr>
            </w:pPr>
            <w:r w:rsidRPr="00490E09">
              <w:rPr>
                <w:rFonts w:ascii="Times New Roman" w:eastAsia="Times New Roman" w:hAnsi="Times New Roman" w:cs="Times New Roman"/>
                <w:color w:val="000000"/>
                <w:sz w:val="24"/>
                <w:szCs w:val="24"/>
              </w:rPr>
              <w:t>CYP3A4 and CYP2C8 (S)/ CYP2D6 (INH)</w:t>
            </w:r>
          </w:p>
        </w:tc>
        <w:tc>
          <w:tcPr>
            <w:tcW w:w="882" w:type="dxa"/>
          </w:tcPr>
          <w:p w:rsidR="00A97D0D" w:rsidRPr="00490E09" w:rsidRDefault="00A97D0D" w:rsidP="00D70DDC">
            <w:pPr>
              <w:rPr>
                <w:rFonts w:ascii="Times New Roman" w:hAnsi="Times New Roman" w:cs="Times New Roman"/>
                <w:sz w:val="24"/>
                <w:szCs w:val="24"/>
              </w:rPr>
            </w:pPr>
            <w:r w:rsidRPr="00490E09">
              <w:rPr>
                <w:rFonts w:ascii="Times New Roman" w:hAnsi="Times New Roman" w:cs="Times New Roman"/>
                <w:sz w:val="24"/>
                <w:szCs w:val="24"/>
              </w:rPr>
              <w:t>NA</w:t>
            </w:r>
          </w:p>
        </w:tc>
      </w:tr>
      <w:tr w:rsidR="00A97D0D" w:rsidRPr="00490E09" w:rsidTr="00834DDA">
        <w:trPr>
          <w:trHeight w:val="260"/>
        </w:trPr>
        <w:tc>
          <w:tcPr>
            <w:tcW w:w="1012" w:type="dxa"/>
            <w:vMerge/>
          </w:tcPr>
          <w:p w:rsidR="00A97D0D" w:rsidRPr="00490E09" w:rsidRDefault="00A97D0D" w:rsidP="00D70DDC">
            <w:pPr>
              <w:tabs>
                <w:tab w:val="left" w:pos="625"/>
              </w:tabs>
              <w:rPr>
                <w:rFonts w:ascii="Times New Roman" w:hAnsi="Times New Roman" w:cs="Times New Roman"/>
                <w:sz w:val="24"/>
                <w:szCs w:val="24"/>
              </w:rPr>
            </w:pPr>
          </w:p>
        </w:tc>
        <w:tc>
          <w:tcPr>
            <w:tcW w:w="2498" w:type="dxa"/>
          </w:tcPr>
          <w:p w:rsidR="00A97D0D" w:rsidRPr="00490E09" w:rsidRDefault="00A97D0D" w:rsidP="00D70DDC">
            <w:pPr>
              <w:autoSpaceDE w:val="0"/>
              <w:autoSpaceDN w:val="0"/>
              <w:adjustRightInd w:val="0"/>
              <w:rPr>
                <w:rFonts w:ascii="Times New Roman" w:eastAsia="Times New Roman" w:hAnsi="Times New Roman" w:cs="Times New Roman"/>
                <w:color w:val="000000"/>
                <w:sz w:val="24"/>
                <w:szCs w:val="24"/>
              </w:rPr>
            </w:pPr>
            <w:r w:rsidRPr="00490E09">
              <w:rPr>
                <w:rFonts w:ascii="Times New Roman" w:eastAsia="Times New Roman" w:hAnsi="Times New Roman" w:cs="Times New Roman"/>
                <w:b/>
                <w:bCs/>
                <w:color w:val="000000"/>
                <w:sz w:val="24"/>
                <w:szCs w:val="24"/>
              </w:rPr>
              <w:t>Ritonavir/Lopinavir</w:t>
            </w:r>
            <w:r w:rsidR="00227D05" w:rsidRPr="00490E09">
              <w:rPr>
                <w:rFonts w:ascii="Times New Roman" w:eastAsia="Times New Roman" w:hAnsi="Times New Roman" w:cs="Times New Roman"/>
                <w:b/>
                <w:bCs/>
                <w:color w:val="000000"/>
                <w:sz w:val="24"/>
                <w:szCs w:val="24"/>
              </w:rPr>
              <w:fldChar w:fldCharType="begin" w:fldLock="1"/>
            </w:r>
            <w:r w:rsidR="00516AC8">
              <w:rPr>
                <w:rFonts w:ascii="Times New Roman" w:eastAsia="Times New Roman" w:hAnsi="Times New Roman" w:cs="Times New Roman"/>
                <w:b/>
                <w:bCs/>
                <w:color w:val="000000"/>
                <w:sz w:val="24"/>
                <w:szCs w:val="24"/>
              </w:rPr>
              <w:instrText>ADDIN CSL_CITATION {"citationItems":[{"id":"ITEM-1","itemData":{"abstract":"McCreary, E.K. and J.M. Pogue. Coronavirus Disease 2019 Treatment: A Review of Early and Emerging Options. in Open Forum Infectious Diseases. 2020: Oxford University Press US","author":[{"dropping-particle":"","family":"McCreary","given":"E.K. and J.M. Pogue","non-dropping-particle":"","parse-names":false,"suffix":""}],"container-title":"Open Forum Infectious Diseases","id":"ITEM-1","issued":{"date-parts":[["2020"]]},"title":"Coronavirus Disease 2019 Treatment: A Review of Early and Emerging Options","type":"article-journal"},"uris":["http://www.mendeley.com/documents/?uuid=c9031e4c-a56c-4c94-b502-a77221597cce","http://www.mendeley.com/documents/?uuid=54baecf0-d1e0-4bd1-8351-415551960201"]}],"mendeley":{"formattedCitation":"&lt;sup&gt;1&lt;/sup&gt;","plainTextFormattedCitation":"1","previouslyFormattedCitation":"(1)"},"properties":{"noteIndex":0},"schema":"https://github.com/citation-style-language/schema/raw/master/csl-citation.json"}</w:instrText>
            </w:r>
            <w:r w:rsidR="00227D05" w:rsidRPr="00490E09">
              <w:rPr>
                <w:rFonts w:ascii="Times New Roman" w:eastAsia="Times New Roman" w:hAnsi="Times New Roman" w:cs="Times New Roman"/>
                <w:b/>
                <w:bCs/>
                <w:color w:val="000000"/>
                <w:sz w:val="24"/>
                <w:szCs w:val="24"/>
              </w:rPr>
              <w:fldChar w:fldCharType="separate"/>
            </w:r>
            <w:r w:rsidR="00516AC8" w:rsidRPr="00516AC8">
              <w:rPr>
                <w:rFonts w:ascii="Times New Roman" w:eastAsia="Times New Roman" w:hAnsi="Times New Roman" w:cs="Times New Roman"/>
                <w:bCs/>
                <w:noProof/>
                <w:color w:val="000000"/>
                <w:sz w:val="24"/>
                <w:szCs w:val="24"/>
                <w:vertAlign w:val="superscript"/>
              </w:rPr>
              <w:t>1</w:t>
            </w:r>
            <w:r w:rsidR="00227D05" w:rsidRPr="00490E09">
              <w:rPr>
                <w:rFonts w:ascii="Times New Roman" w:eastAsia="Times New Roman" w:hAnsi="Times New Roman" w:cs="Times New Roman"/>
                <w:b/>
                <w:bCs/>
                <w:color w:val="000000"/>
                <w:sz w:val="24"/>
                <w:szCs w:val="24"/>
              </w:rPr>
              <w:fldChar w:fldCharType="end"/>
            </w:r>
            <w:r w:rsidR="00345EB2">
              <w:rPr>
                <w:rFonts w:ascii="Times New Roman" w:eastAsia="Times New Roman" w:hAnsi="Times New Roman" w:cs="Times New Roman"/>
                <w:bCs/>
                <w:color w:val="000000"/>
                <w:sz w:val="24"/>
                <w:szCs w:val="24"/>
                <w:vertAlign w:val="superscript"/>
              </w:rPr>
              <w:t>,</w:t>
            </w:r>
            <w:r w:rsidR="00227D05" w:rsidRPr="00490E09">
              <w:rPr>
                <w:rFonts w:ascii="Times New Roman" w:eastAsia="Times New Roman" w:hAnsi="Times New Roman" w:cs="Times New Roman"/>
                <w:b/>
                <w:bCs/>
                <w:color w:val="000000"/>
                <w:sz w:val="24"/>
                <w:szCs w:val="24"/>
              </w:rPr>
              <w:fldChar w:fldCharType="begin" w:fldLock="1"/>
            </w:r>
            <w:r w:rsidR="00516AC8">
              <w:rPr>
                <w:rFonts w:ascii="Times New Roman" w:eastAsia="Times New Roman" w:hAnsi="Times New Roman" w:cs="Times New Roman"/>
                <w:b/>
                <w:bCs/>
                <w:color w:val="000000"/>
                <w:sz w:val="24"/>
                <w:szCs w:val="24"/>
              </w:rPr>
              <w:instrText>ADDIN CSL_CITATION {"citationItems":[{"id":"ITEM-1","itemData":{"abstract":"Breilh, D., et al., Virological, intracellular and plasma pharmacological parameters predicting response to lopinavir/ritonavir (KALEPHAR study). Aids, 2004. 18(9): p. 1305-1310.","author":[{"dropping-particle":"al","family":"Breilh, D.","given":"et","non-dropping-particle":"","parse-names":false,"suffix":""}],"container-title":"Aids","id":"ITEM-1","issue":"9","issued":{"date-parts":[["0"]]},"page":"1305-1310","title":"Virological, intracellular and plasma pharmacological parameters predicting response to lopinavir/ritonavir (KALEPHAR study)","type":"article-journal","volume":"18"},"uris":["http://www.mendeley.com/documents/?uuid=f9391d44-06f7-4aac-b3e4-fcda37255100","http://www.mendeley.com/documents/?uuid=2cfa0526-33b9-4711-b11b-1f4a7c480e8b"]}],"mendeley":{"formattedCitation":"&lt;sup&gt;6&lt;/sup&gt;","plainTextFormattedCitation":"6","previouslyFormattedCitation":"(6)"},"properties":{"noteIndex":0},"schema":"https://github.com/citation-style-language/schema/raw/master/csl-citation.json"}</w:instrText>
            </w:r>
            <w:r w:rsidR="00227D05" w:rsidRPr="00490E09">
              <w:rPr>
                <w:rFonts w:ascii="Times New Roman" w:eastAsia="Times New Roman" w:hAnsi="Times New Roman" w:cs="Times New Roman"/>
                <w:b/>
                <w:bCs/>
                <w:color w:val="000000"/>
                <w:sz w:val="24"/>
                <w:szCs w:val="24"/>
              </w:rPr>
              <w:fldChar w:fldCharType="separate"/>
            </w:r>
            <w:r w:rsidR="00516AC8" w:rsidRPr="00516AC8">
              <w:rPr>
                <w:rFonts w:ascii="Times New Roman" w:eastAsia="Times New Roman" w:hAnsi="Times New Roman" w:cs="Times New Roman"/>
                <w:bCs/>
                <w:noProof/>
                <w:color w:val="000000"/>
                <w:sz w:val="24"/>
                <w:szCs w:val="24"/>
                <w:vertAlign w:val="superscript"/>
              </w:rPr>
              <w:t>6</w:t>
            </w:r>
            <w:r w:rsidR="00227D05" w:rsidRPr="00490E09">
              <w:rPr>
                <w:rFonts w:ascii="Times New Roman" w:eastAsia="Times New Roman" w:hAnsi="Times New Roman" w:cs="Times New Roman"/>
                <w:b/>
                <w:bCs/>
                <w:color w:val="000000"/>
                <w:sz w:val="24"/>
                <w:szCs w:val="24"/>
              </w:rPr>
              <w:fldChar w:fldCharType="end"/>
            </w:r>
            <w:r w:rsidR="00345EB2">
              <w:rPr>
                <w:rFonts w:ascii="Times New Roman" w:eastAsia="Times New Roman" w:hAnsi="Times New Roman" w:cs="Times New Roman"/>
                <w:bCs/>
                <w:color w:val="000000"/>
                <w:sz w:val="24"/>
                <w:szCs w:val="24"/>
                <w:vertAlign w:val="superscript"/>
              </w:rPr>
              <w:t>,</w:t>
            </w:r>
            <w:r w:rsidR="00227D05" w:rsidRPr="00490E09">
              <w:rPr>
                <w:rFonts w:ascii="Times New Roman" w:eastAsia="Times New Roman" w:hAnsi="Times New Roman" w:cs="Times New Roman"/>
                <w:b/>
                <w:bCs/>
                <w:color w:val="000000"/>
                <w:sz w:val="24"/>
                <w:szCs w:val="24"/>
              </w:rPr>
              <w:fldChar w:fldCharType="begin" w:fldLock="1"/>
            </w:r>
            <w:r w:rsidR="00516AC8">
              <w:rPr>
                <w:rFonts w:ascii="Times New Roman" w:eastAsia="Times New Roman" w:hAnsi="Times New Roman" w:cs="Times New Roman"/>
                <w:b/>
                <w:bCs/>
                <w:color w:val="000000"/>
                <w:sz w:val="24"/>
                <w:szCs w:val="24"/>
              </w:rPr>
              <w:instrText>ADDIN CSL_CITATION {"citationItems":[{"id":"ITEM-1","itemData":{"abstract":"Chandwani, A. and J. Shuter, Lopinavir/ritonavir in the treatment of HIV-1 infection: a review. Therapeutics and clinical risk management, 2008. 4(5): p. 1023.","author":[{"dropping-particle":"","family":"Chandwani","given":"A. and J. Shuter","non-dropping-particle":"","parse-names":false,"suffix":""}],"container-title":"Therapeutics and clinical risk management","id":"ITEM-1","issue":"5","issued":{"date-parts":[["2008"]]},"page":"1023","title":"Lopinavir/ritonavir in the treatment of HIV-1 infection: a review","type":"article-journal","volume":"4"},"uris":["http://www.mendeley.com/documents/?uuid=e7f7669e-3e5c-4d96-bf42-80e171713569","http://www.mendeley.com/documents/?uuid=b26a3970-7dba-4cac-9588-4a43235194d2"]}],"mendeley":{"formattedCitation":"&lt;sup&gt;7&lt;/sup&gt;","plainTextFormattedCitation":"7","previouslyFormattedCitation":"(7)"},"properties":{"noteIndex":0},"schema":"https://github.com/citation-style-language/schema/raw/master/csl-citation.json"}</w:instrText>
            </w:r>
            <w:r w:rsidR="00227D05" w:rsidRPr="00490E09">
              <w:rPr>
                <w:rFonts w:ascii="Times New Roman" w:eastAsia="Times New Roman" w:hAnsi="Times New Roman" w:cs="Times New Roman"/>
                <w:b/>
                <w:bCs/>
                <w:color w:val="000000"/>
                <w:sz w:val="24"/>
                <w:szCs w:val="24"/>
              </w:rPr>
              <w:fldChar w:fldCharType="separate"/>
            </w:r>
            <w:r w:rsidR="00516AC8" w:rsidRPr="00516AC8">
              <w:rPr>
                <w:rFonts w:ascii="Times New Roman" w:eastAsia="Times New Roman" w:hAnsi="Times New Roman" w:cs="Times New Roman"/>
                <w:bCs/>
                <w:noProof/>
                <w:color w:val="000000"/>
                <w:sz w:val="24"/>
                <w:szCs w:val="24"/>
                <w:vertAlign w:val="superscript"/>
              </w:rPr>
              <w:t>7</w:t>
            </w:r>
            <w:r w:rsidR="00227D05" w:rsidRPr="00490E09">
              <w:rPr>
                <w:rFonts w:ascii="Times New Roman" w:eastAsia="Times New Roman" w:hAnsi="Times New Roman" w:cs="Times New Roman"/>
                <w:b/>
                <w:bCs/>
                <w:color w:val="000000"/>
                <w:sz w:val="24"/>
                <w:szCs w:val="24"/>
              </w:rPr>
              <w:fldChar w:fldCharType="end"/>
            </w:r>
            <w:r w:rsidR="00345EB2">
              <w:rPr>
                <w:rFonts w:ascii="Times New Roman" w:eastAsia="Times New Roman" w:hAnsi="Times New Roman" w:cs="Times New Roman"/>
                <w:bCs/>
                <w:color w:val="000000"/>
                <w:sz w:val="24"/>
                <w:szCs w:val="24"/>
                <w:vertAlign w:val="superscript"/>
              </w:rPr>
              <w:t>,</w:t>
            </w:r>
            <w:r w:rsidR="00227D05" w:rsidRPr="00490E09">
              <w:rPr>
                <w:rFonts w:ascii="Times New Roman" w:eastAsia="Times New Roman" w:hAnsi="Times New Roman" w:cs="Times New Roman"/>
                <w:b/>
                <w:bCs/>
                <w:color w:val="000000"/>
                <w:sz w:val="24"/>
                <w:szCs w:val="24"/>
              </w:rPr>
              <w:fldChar w:fldCharType="begin" w:fldLock="1"/>
            </w:r>
            <w:r w:rsidR="00516AC8">
              <w:rPr>
                <w:rFonts w:ascii="Times New Roman" w:eastAsia="Times New Roman" w:hAnsi="Times New Roman" w:cs="Times New Roman"/>
                <w:b/>
                <w:bCs/>
                <w:color w:val="000000"/>
                <w:sz w:val="24"/>
                <w:szCs w:val="24"/>
              </w:rPr>
              <w:instrText>ADDIN CSL_CITATION {"citationItems":[{"id":"ITEM-1","itemData":{"abstract":"Jackson, A., et al., Pharmacokinetics of plasma lopinavir/ritonavir following the administration of 400/100 mg, 200/150 mg and 200/50 mg twice daily in HIV-negative volunteers. Journal of antimicrobial chemotherapy, 2011. 66(3): p. 635-640.","author":[{"dropping-particle":"al","family":"Jackson, A.","given":"et","non-dropping-particle":"","parse-names":false,"suffix":""}],"container-title":"Journal of antimicrobial chemotherapy","id":"ITEM-1","issue":"3","issued":{"date-parts":[["2011"]]},"page":"635-640","title":"Pharmacokinetics of plasma lopinavir/ritonavir following the administration of 400/100 mg, 200/150 mg and 200/50 mg twice daily in HIV-negative volunteers","type":"article-journal","volume":"66"},"uris":["http://www.mendeley.com/documents/?uuid=582f3b9c-aa11-4f3c-94fc-7f3ba07f3a5e","http://www.mendeley.com/documents/?uuid=1a509da3-3c2b-42ca-94ec-a0a9d6b39f64"]}],"mendeley":{"formattedCitation":"&lt;sup&gt;8&lt;/sup&gt;","plainTextFormattedCitation":"8","previouslyFormattedCitation":"(8)"},"properties":{"noteIndex":0},"schema":"https://github.com/citation-style-language/schema/raw/master/csl-citation.json"}</w:instrText>
            </w:r>
            <w:r w:rsidR="00227D05" w:rsidRPr="00490E09">
              <w:rPr>
                <w:rFonts w:ascii="Times New Roman" w:eastAsia="Times New Roman" w:hAnsi="Times New Roman" w:cs="Times New Roman"/>
                <w:b/>
                <w:bCs/>
                <w:color w:val="000000"/>
                <w:sz w:val="24"/>
                <w:szCs w:val="24"/>
              </w:rPr>
              <w:fldChar w:fldCharType="separate"/>
            </w:r>
            <w:r w:rsidR="00516AC8" w:rsidRPr="00516AC8">
              <w:rPr>
                <w:rFonts w:ascii="Times New Roman" w:eastAsia="Times New Roman" w:hAnsi="Times New Roman" w:cs="Times New Roman"/>
                <w:bCs/>
                <w:noProof/>
                <w:color w:val="000000"/>
                <w:sz w:val="24"/>
                <w:szCs w:val="24"/>
                <w:vertAlign w:val="superscript"/>
              </w:rPr>
              <w:t>8</w:t>
            </w:r>
            <w:r w:rsidR="00227D05" w:rsidRPr="00490E09">
              <w:rPr>
                <w:rFonts w:ascii="Times New Roman" w:eastAsia="Times New Roman" w:hAnsi="Times New Roman" w:cs="Times New Roman"/>
                <w:b/>
                <w:bCs/>
                <w:color w:val="000000"/>
                <w:sz w:val="24"/>
                <w:szCs w:val="24"/>
              </w:rPr>
              <w:fldChar w:fldCharType="end"/>
            </w:r>
            <w:r w:rsidR="00345EB2">
              <w:rPr>
                <w:rFonts w:ascii="Times New Roman" w:eastAsia="Times New Roman" w:hAnsi="Times New Roman" w:cs="Times New Roman"/>
                <w:bCs/>
                <w:color w:val="000000"/>
                <w:sz w:val="24"/>
                <w:szCs w:val="24"/>
                <w:vertAlign w:val="superscript"/>
              </w:rPr>
              <w:t>,</w:t>
            </w:r>
            <w:r w:rsidR="00227D05" w:rsidRPr="00490E09">
              <w:rPr>
                <w:rFonts w:ascii="Times New Roman" w:eastAsia="Times New Roman" w:hAnsi="Times New Roman" w:cs="Times New Roman"/>
                <w:b/>
                <w:bCs/>
                <w:color w:val="000000"/>
                <w:sz w:val="24"/>
                <w:szCs w:val="24"/>
              </w:rPr>
              <w:fldChar w:fldCharType="begin" w:fldLock="1"/>
            </w:r>
            <w:r w:rsidR="00516AC8">
              <w:rPr>
                <w:rFonts w:ascii="Times New Roman" w:eastAsia="Times New Roman" w:hAnsi="Times New Roman" w:cs="Times New Roman"/>
                <w:b/>
                <w:bCs/>
                <w:color w:val="000000"/>
                <w:sz w:val="24"/>
                <w:szCs w:val="24"/>
              </w:rPr>
              <w:instrText>ADDIN CSL_CITATION {"citationItems":[{"id":"ITEM-1","itemData":{"abstract":"Lopez-Cortes, L.F., et al., Lopinavir plasma concentrations and virological outcome with lopinavir-ritonavir monotherapy in HIV-1-infected patients. Antimicrobial agents and chemotherapy, 2013. 57(8): p. 3746-3751","author":[{"dropping-particle":"al","family":"Lopez-Cortes, L.F.","given":"et","non-dropping-particle":"","parse-names":false,"suffix":""}],"container-title":"Antimicrobial agents and chemotherapy","id":"ITEM-1","issue":"8","issued":{"date-parts":[["2013"]]},"page":"3746-3751","title":"Lopinavir plasma concentrations and virological outcome with lopinavir-ritonavir monotherapy in HIV-1-infected patients","type":"article-journal","volume":"57"},"uris":["http://www.mendeley.com/documents/?uuid=ebf3cd33-e581-4b04-900a-bf9115b05c78","http://www.mendeley.com/documents/?uuid=2d7d025d-a5fe-42c7-bf12-6215858c780e"]}],"mendeley":{"formattedCitation":"&lt;sup&gt;9&lt;/sup&gt;","plainTextFormattedCitation":"9","previouslyFormattedCitation":"(9)"},"properties":{"noteIndex":0},"schema":"https://github.com/citation-style-language/schema/raw/master/csl-citation.json"}</w:instrText>
            </w:r>
            <w:r w:rsidR="00227D05" w:rsidRPr="00490E09">
              <w:rPr>
                <w:rFonts w:ascii="Times New Roman" w:eastAsia="Times New Roman" w:hAnsi="Times New Roman" w:cs="Times New Roman"/>
                <w:b/>
                <w:bCs/>
                <w:color w:val="000000"/>
                <w:sz w:val="24"/>
                <w:szCs w:val="24"/>
              </w:rPr>
              <w:fldChar w:fldCharType="separate"/>
            </w:r>
            <w:r w:rsidR="00516AC8" w:rsidRPr="00516AC8">
              <w:rPr>
                <w:rFonts w:ascii="Times New Roman" w:eastAsia="Times New Roman" w:hAnsi="Times New Roman" w:cs="Times New Roman"/>
                <w:bCs/>
                <w:noProof/>
                <w:color w:val="000000"/>
                <w:sz w:val="24"/>
                <w:szCs w:val="24"/>
                <w:vertAlign w:val="superscript"/>
              </w:rPr>
              <w:t>9</w:t>
            </w:r>
            <w:r w:rsidR="00227D05" w:rsidRPr="00490E09">
              <w:rPr>
                <w:rFonts w:ascii="Times New Roman" w:eastAsia="Times New Roman" w:hAnsi="Times New Roman" w:cs="Times New Roman"/>
                <w:b/>
                <w:bCs/>
                <w:color w:val="000000"/>
                <w:sz w:val="24"/>
                <w:szCs w:val="24"/>
              </w:rPr>
              <w:fldChar w:fldCharType="end"/>
            </w:r>
            <w:r w:rsidR="00345EB2">
              <w:rPr>
                <w:rFonts w:ascii="Times New Roman" w:eastAsia="Times New Roman" w:hAnsi="Times New Roman" w:cs="Times New Roman"/>
                <w:bCs/>
                <w:color w:val="000000"/>
                <w:sz w:val="24"/>
                <w:szCs w:val="24"/>
                <w:vertAlign w:val="superscript"/>
              </w:rPr>
              <w:t>,</w:t>
            </w:r>
            <w:r w:rsidR="00227D05" w:rsidRPr="00490E09">
              <w:rPr>
                <w:rFonts w:ascii="Times New Roman" w:eastAsia="Times New Roman" w:hAnsi="Times New Roman" w:cs="Times New Roman"/>
                <w:b/>
                <w:bCs/>
                <w:color w:val="000000"/>
                <w:sz w:val="24"/>
                <w:szCs w:val="24"/>
              </w:rPr>
              <w:fldChar w:fldCharType="begin" w:fldLock="1"/>
            </w:r>
            <w:r w:rsidR="00516AC8">
              <w:rPr>
                <w:rFonts w:ascii="Times New Roman" w:eastAsia="Times New Roman" w:hAnsi="Times New Roman" w:cs="Times New Roman"/>
                <w:b/>
                <w:bCs/>
                <w:color w:val="000000"/>
                <w:sz w:val="24"/>
                <w:szCs w:val="24"/>
              </w:rPr>
              <w:instrText>ADDIN CSL_CITATION {"citationItems":[{"id":"ITEM-1","itemData":{"abstract":"August JT, Murad F, Anders MW, Coyle JT, Li AP. Drug-Drug interactions: scientific and regulatory perspectives. Academic Press; 1997 Nov 6.","author":[{"dropping-particle":"","family":"August JT, Murad F, Anders MW, Coyle JT","given":"Li AP","non-dropping-particle":"","parse-names":false,"suffix":""}],"id":"ITEM-1","issued":{"date-parts":[["1997"]]},"publisher":"Academic Press","title":"Drug-Drug interactions: scientific and regulatory perspectives","type":"book"},"uris":["http://www.mendeley.com/documents/?uuid=d7af6b66-c38d-4fa0-af1b-fc1b41339e50","http://www.mendeley.com/documents/?uuid=f4d41c88-fbe5-4d79-98bb-5ae1fc96cd46"]}],"mendeley":{"formattedCitation":"&lt;sup&gt;10&lt;/sup&gt;","plainTextFormattedCitation":"10","previouslyFormattedCitation":"(10)"},"properties":{"noteIndex":0},"schema":"https://github.com/citation-style-language/schema/raw/master/csl-citation.json"}</w:instrText>
            </w:r>
            <w:r w:rsidR="00227D05" w:rsidRPr="00490E09">
              <w:rPr>
                <w:rFonts w:ascii="Times New Roman" w:eastAsia="Times New Roman" w:hAnsi="Times New Roman" w:cs="Times New Roman"/>
                <w:b/>
                <w:bCs/>
                <w:color w:val="000000"/>
                <w:sz w:val="24"/>
                <w:szCs w:val="24"/>
              </w:rPr>
              <w:fldChar w:fldCharType="separate"/>
            </w:r>
            <w:r w:rsidR="00516AC8" w:rsidRPr="00516AC8">
              <w:rPr>
                <w:rFonts w:ascii="Times New Roman" w:eastAsia="Times New Roman" w:hAnsi="Times New Roman" w:cs="Times New Roman"/>
                <w:bCs/>
                <w:noProof/>
                <w:color w:val="000000"/>
                <w:sz w:val="24"/>
                <w:szCs w:val="24"/>
                <w:vertAlign w:val="superscript"/>
              </w:rPr>
              <w:t>10</w:t>
            </w:r>
            <w:r w:rsidR="00227D05" w:rsidRPr="00490E09">
              <w:rPr>
                <w:rFonts w:ascii="Times New Roman" w:eastAsia="Times New Roman" w:hAnsi="Times New Roman" w:cs="Times New Roman"/>
                <w:b/>
                <w:bCs/>
                <w:color w:val="000000"/>
                <w:sz w:val="24"/>
                <w:szCs w:val="24"/>
              </w:rPr>
              <w:fldChar w:fldCharType="end"/>
            </w:r>
            <w:r w:rsidR="00345EB2">
              <w:rPr>
                <w:rFonts w:ascii="Times New Roman" w:eastAsia="Times New Roman" w:hAnsi="Times New Roman" w:cs="Times New Roman"/>
                <w:bCs/>
                <w:color w:val="000000"/>
                <w:sz w:val="24"/>
                <w:szCs w:val="24"/>
                <w:vertAlign w:val="superscript"/>
              </w:rPr>
              <w:t>,</w:t>
            </w:r>
            <w:r w:rsidR="00227D05" w:rsidRPr="00490E09">
              <w:rPr>
                <w:rFonts w:ascii="Times New Roman" w:eastAsia="Times New Roman" w:hAnsi="Times New Roman" w:cs="Times New Roman"/>
                <w:b/>
                <w:bCs/>
                <w:color w:val="000000"/>
                <w:sz w:val="24"/>
                <w:szCs w:val="24"/>
              </w:rPr>
              <w:fldChar w:fldCharType="begin" w:fldLock="1"/>
            </w:r>
            <w:r w:rsidR="00516AC8">
              <w:rPr>
                <w:rFonts w:ascii="Times New Roman" w:eastAsia="Times New Roman" w:hAnsi="Times New Roman" w:cs="Times New Roman"/>
                <w:b/>
                <w:bCs/>
                <w:color w:val="000000"/>
                <w:sz w:val="24"/>
                <w:szCs w:val="24"/>
              </w:rPr>
              <w:instrText>ADDIN CSL_CITATION {"citationItems":[{"id":"ITEM-1","itemData":{"DOI":"10.1211/002235702739","ISSN":"0022-3573","abstract":"The influence of the viral protease inhibitor lopinavir on the activity of six human cytochrome P450 (CYP) enzymes was evaluated in a model system using human liver microsomes. Column chromatography methodology was developed to separate lopinavir from ritonavir starting from the commercially available lopinavir-ritonavir combination dosage form. Lopinavir produced negligible or weak inhibition of human CYP1A2, 2B6, 2C9, 2C19 and 2D6. However, lopinavir was an inhibitor of CYP3A. At 250 microM triazolam (the CYP3A index substrate), the mean (+/- s.e., n = 4) IC50 versus triazolam alpha-hydroxylation (where IC50 is the concentration producing a 50% decrement in reaction velocity) was 7.3 (+/- 0.5) microM. Pre-incubation of lopinavir with microsomes prior to addition of triazolam yielded a significantly lower IC50 of 4.1 (+/- 0.5) microM. This is consistent with mechanism-based inhibition of human CYP3A by lopinavir. Although lopinavir is less potent than ritonavir as an inhibitor of CYP3A, lopinavir is nonetheless likely to contribute to net CYP3A inhibition in-vivo during treatment with the lopinavir-ritonavir combination.","author":[{"dropping-particle":"","family":"Weemhoff","given":"James L.","non-dropping-particle":"","parse-names":false,"suffix":""},{"dropping-particle":"","family":"Moltke","given":"Lisa L.","non-dropping-particle":"von","parse-names":false,"suffix":""},{"dropping-particle":"","family":"Richert","given":"Clemens","non-dropping-particle":"","parse-names":false,"suffix":""},{"dropping-particle":"","family":"Hesse","given":"Leah M.","non-dropping-particle":"","parse-names":false,"suffix":""},{"dropping-particle":"","family":"Harmatz","given":"Jerold S.","non-dropping-particle":"","parse-names":false,"suffix":""},{"dropping-particle":"","family":"Greenblatt","given":"David J.","non-dropping-particle":"","parse-names":false,"suffix":""}],"container-title":"Journal of Pharmacy and Pharmacology","id":"ITEM-1","issue":"3","issued":{"date-parts":[["2003"]]},"page":"381-386","title":"Apparent mechanism-based inhibition of human CYP3A in-vitro by lopinavir","type":"article-journal","volume":"55"},"uris":["http://www.mendeley.com/documents/?uuid=d6aae823-9786-4752-aab8-bca7209f6860","http://www.mendeley.com/documents/?uuid=f756302c-28a4-4e46-a372-b168928e9f86"]}],"mendeley":{"formattedCitation":"&lt;sup&gt;11&lt;/sup&gt;","plainTextFormattedCitation":"11","previouslyFormattedCitation":"(11)"},"properties":{"noteIndex":0},"schema":"https://github.com/citation-style-language/schema/raw/master/csl-citation.json"}</w:instrText>
            </w:r>
            <w:r w:rsidR="00227D05" w:rsidRPr="00490E09">
              <w:rPr>
                <w:rFonts w:ascii="Times New Roman" w:eastAsia="Times New Roman" w:hAnsi="Times New Roman" w:cs="Times New Roman"/>
                <w:b/>
                <w:bCs/>
                <w:color w:val="000000"/>
                <w:sz w:val="24"/>
                <w:szCs w:val="24"/>
              </w:rPr>
              <w:fldChar w:fldCharType="separate"/>
            </w:r>
            <w:r w:rsidR="00516AC8" w:rsidRPr="00516AC8">
              <w:rPr>
                <w:rFonts w:ascii="Times New Roman" w:eastAsia="Times New Roman" w:hAnsi="Times New Roman" w:cs="Times New Roman"/>
                <w:bCs/>
                <w:noProof/>
                <w:color w:val="000000"/>
                <w:sz w:val="24"/>
                <w:szCs w:val="24"/>
                <w:vertAlign w:val="superscript"/>
              </w:rPr>
              <w:t>11</w:t>
            </w:r>
            <w:r w:rsidR="00227D05" w:rsidRPr="00490E09">
              <w:rPr>
                <w:rFonts w:ascii="Times New Roman" w:eastAsia="Times New Roman" w:hAnsi="Times New Roman" w:cs="Times New Roman"/>
                <w:b/>
                <w:bCs/>
                <w:color w:val="000000"/>
                <w:sz w:val="24"/>
                <w:szCs w:val="24"/>
              </w:rPr>
              <w:fldChar w:fldCharType="end"/>
            </w:r>
            <w:r w:rsidRPr="00490E09">
              <w:rPr>
                <w:rFonts w:ascii="Times New Roman" w:eastAsia="Times New Roman" w:hAnsi="Times New Roman" w:cs="Times New Roman"/>
                <w:b/>
                <w:bCs/>
                <w:color w:val="000000"/>
                <w:sz w:val="24"/>
                <w:szCs w:val="24"/>
              </w:rPr>
              <w:t>:</w:t>
            </w:r>
            <w:r w:rsidRPr="00490E09">
              <w:rPr>
                <w:rFonts w:ascii="Times New Roman" w:eastAsia="Times New Roman" w:hAnsi="Times New Roman" w:cs="Times New Roman"/>
                <w:color w:val="000000"/>
                <w:sz w:val="24"/>
                <w:szCs w:val="24"/>
              </w:rPr>
              <w:t>(400/100 mg twice daily) for 14 days PO</w:t>
            </w:r>
          </w:p>
          <w:p w:rsidR="00A97D0D" w:rsidRPr="00490E09" w:rsidRDefault="00A97D0D" w:rsidP="00D70DDC">
            <w:pPr>
              <w:rPr>
                <w:rFonts w:ascii="Times New Roman" w:hAnsi="Times New Roman" w:cs="Times New Roman"/>
                <w:sz w:val="24"/>
                <w:szCs w:val="24"/>
              </w:rPr>
            </w:pPr>
          </w:p>
        </w:tc>
        <w:tc>
          <w:tcPr>
            <w:tcW w:w="1560" w:type="dxa"/>
          </w:tcPr>
          <w:p w:rsidR="00A97D0D" w:rsidRPr="00490E09" w:rsidRDefault="00A97D0D" w:rsidP="00D70DDC">
            <w:pPr>
              <w:rPr>
                <w:rFonts w:ascii="Times New Roman" w:hAnsi="Times New Roman" w:cs="Times New Roman"/>
                <w:sz w:val="24"/>
                <w:szCs w:val="24"/>
              </w:rPr>
            </w:pPr>
            <w:r w:rsidRPr="00490E09">
              <w:rPr>
                <w:rFonts w:ascii="Times New Roman" w:eastAsia="Times New Roman" w:hAnsi="Times New Roman" w:cs="Times New Roman"/>
                <w:color w:val="000000"/>
                <w:sz w:val="24"/>
                <w:szCs w:val="24"/>
              </w:rPr>
              <w:t>98±01</w:t>
            </w:r>
          </w:p>
        </w:tc>
        <w:tc>
          <w:tcPr>
            <w:tcW w:w="992" w:type="dxa"/>
          </w:tcPr>
          <w:p w:rsidR="00A97D0D" w:rsidRPr="00490E09" w:rsidRDefault="00A97D0D" w:rsidP="00D70DDC">
            <w:pPr>
              <w:rPr>
                <w:rFonts w:ascii="Times New Roman" w:hAnsi="Times New Roman" w:cs="Times New Roman"/>
                <w:sz w:val="24"/>
                <w:szCs w:val="24"/>
              </w:rPr>
            </w:pPr>
            <w:r w:rsidRPr="00490E09">
              <w:rPr>
                <w:rFonts w:ascii="Times New Roman" w:hAnsi="Times New Roman" w:cs="Times New Roman"/>
                <w:sz w:val="24"/>
                <w:szCs w:val="24"/>
              </w:rPr>
              <w:t>98-99</w:t>
            </w:r>
          </w:p>
        </w:tc>
        <w:tc>
          <w:tcPr>
            <w:tcW w:w="1559" w:type="dxa"/>
          </w:tcPr>
          <w:p w:rsidR="00A97D0D" w:rsidRPr="00490E09" w:rsidRDefault="00A97D0D" w:rsidP="00D70DDC">
            <w:pPr>
              <w:autoSpaceDE w:val="0"/>
              <w:autoSpaceDN w:val="0"/>
              <w:adjustRightInd w:val="0"/>
              <w:rPr>
                <w:rFonts w:ascii="Times New Roman" w:eastAsia="Times New Roman" w:hAnsi="Times New Roman" w:cs="Times New Roman"/>
                <w:color w:val="000000"/>
                <w:sz w:val="24"/>
                <w:szCs w:val="24"/>
              </w:rPr>
            </w:pPr>
            <w:r w:rsidRPr="00490E09">
              <w:rPr>
                <w:rFonts w:ascii="Times New Roman" w:eastAsia="Times New Roman" w:hAnsi="Times New Roman" w:cs="Times New Roman"/>
                <w:color w:val="000000"/>
                <w:sz w:val="24"/>
                <w:szCs w:val="24"/>
              </w:rPr>
              <w:t>9.8 ± 3.7 μg/mL</w:t>
            </w:r>
          </w:p>
          <w:p w:rsidR="00A97D0D" w:rsidRPr="00490E09" w:rsidRDefault="00A97D0D" w:rsidP="00D70DDC">
            <w:pPr>
              <w:rPr>
                <w:rFonts w:ascii="Times New Roman" w:hAnsi="Times New Roman" w:cs="Times New Roman"/>
                <w:sz w:val="24"/>
                <w:szCs w:val="24"/>
              </w:rPr>
            </w:pPr>
          </w:p>
        </w:tc>
        <w:tc>
          <w:tcPr>
            <w:tcW w:w="2181" w:type="dxa"/>
          </w:tcPr>
          <w:p w:rsidR="00A97D0D" w:rsidRPr="00490E09" w:rsidRDefault="00A97D0D" w:rsidP="00D70DDC">
            <w:pPr>
              <w:autoSpaceDE w:val="0"/>
              <w:autoSpaceDN w:val="0"/>
              <w:adjustRightInd w:val="0"/>
              <w:rPr>
                <w:rFonts w:ascii="Times New Roman" w:eastAsia="Times New Roman" w:hAnsi="Times New Roman" w:cs="Times New Roman"/>
                <w:color w:val="000000"/>
                <w:sz w:val="24"/>
                <w:szCs w:val="24"/>
              </w:rPr>
            </w:pPr>
            <w:r w:rsidRPr="00490E09">
              <w:rPr>
                <w:rFonts w:ascii="Times New Roman" w:eastAsia="Times New Roman" w:hAnsi="Times New Roman" w:cs="Times New Roman"/>
                <w:color w:val="000000"/>
                <w:sz w:val="24"/>
                <w:szCs w:val="24"/>
              </w:rPr>
              <w:t>1000 ng/mL (for HIV)</w:t>
            </w:r>
          </w:p>
          <w:p w:rsidR="00A97D0D" w:rsidRPr="00490E09" w:rsidRDefault="00A97D0D" w:rsidP="00D70DDC">
            <w:pPr>
              <w:autoSpaceDE w:val="0"/>
              <w:autoSpaceDN w:val="0"/>
              <w:adjustRightInd w:val="0"/>
              <w:rPr>
                <w:rFonts w:ascii="Times New Roman" w:eastAsia="Times New Roman" w:hAnsi="Times New Roman" w:cs="Times New Roman"/>
                <w:color w:val="000000"/>
                <w:sz w:val="24"/>
                <w:szCs w:val="24"/>
              </w:rPr>
            </w:pPr>
          </w:p>
          <w:p w:rsidR="00A97D0D" w:rsidRPr="00490E09" w:rsidRDefault="00A97D0D" w:rsidP="00D70DDC">
            <w:pPr>
              <w:autoSpaceDE w:val="0"/>
              <w:autoSpaceDN w:val="0"/>
              <w:adjustRightInd w:val="0"/>
              <w:rPr>
                <w:rFonts w:ascii="Times New Roman" w:eastAsia="Times New Roman" w:hAnsi="Times New Roman" w:cs="Times New Roman"/>
                <w:color w:val="000000"/>
                <w:sz w:val="24"/>
                <w:szCs w:val="24"/>
              </w:rPr>
            </w:pPr>
            <w:r w:rsidRPr="00490E09">
              <w:rPr>
                <w:rFonts w:ascii="Times New Roman" w:eastAsia="Times New Roman" w:hAnsi="Times New Roman" w:cs="Times New Roman"/>
                <w:color w:val="000000"/>
                <w:sz w:val="24"/>
                <w:szCs w:val="24"/>
              </w:rPr>
              <w:t>(minimum intracellular and plasma concentrations at 8 and 4 μg/mL, respectively-KALEPHAR Study</w:t>
            </w:r>
          </w:p>
          <w:p w:rsidR="00A97D0D" w:rsidRPr="00490E09" w:rsidRDefault="00A97D0D" w:rsidP="00D70DDC">
            <w:pPr>
              <w:autoSpaceDE w:val="0"/>
              <w:autoSpaceDN w:val="0"/>
              <w:adjustRightInd w:val="0"/>
              <w:rPr>
                <w:rFonts w:ascii="Times New Roman" w:eastAsia="Times New Roman" w:hAnsi="Times New Roman" w:cs="Times New Roman"/>
                <w:color w:val="000000"/>
                <w:sz w:val="24"/>
                <w:szCs w:val="24"/>
              </w:rPr>
            </w:pPr>
            <w:r w:rsidRPr="00490E09">
              <w:rPr>
                <w:rFonts w:ascii="Times New Roman" w:eastAsia="Times New Roman" w:hAnsi="Times New Roman" w:cs="Times New Roman"/>
                <w:color w:val="000000"/>
                <w:sz w:val="24"/>
                <w:szCs w:val="24"/>
              </w:rPr>
              <w:t>2004)</w:t>
            </w:r>
          </w:p>
          <w:p w:rsidR="00A97D0D" w:rsidRPr="00490E09" w:rsidRDefault="00A97D0D" w:rsidP="00D70DDC">
            <w:pPr>
              <w:autoSpaceDE w:val="0"/>
              <w:autoSpaceDN w:val="0"/>
              <w:adjustRightInd w:val="0"/>
              <w:rPr>
                <w:rFonts w:ascii="Times New Roman" w:eastAsia="Times New Roman" w:hAnsi="Times New Roman" w:cs="Times New Roman"/>
                <w:color w:val="000000"/>
                <w:sz w:val="24"/>
                <w:szCs w:val="24"/>
              </w:rPr>
            </w:pPr>
          </w:p>
          <w:p w:rsidR="00A97D0D" w:rsidRPr="00490E09" w:rsidRDefault="00A97D0D" w:rsidP="00D70DDC">
            <w:pPr>
              <w:autoSpaceDE w:val="0"/>
              <w:autoSpaceDN w:val="0"/>
              <w:adjustRightInd w:val="0"/>
              <w:rPr>
                <w:rFonts w:ascii="Times New Roman" w:eastAsia="Times New Roman" w:hAnsi="Times New Roman" w:cs="Times New Roman"/>
                <w:color w:val="000000"/>
                <w:sz w:val="24"/>
                <w:szCs w:val="24"/>
              </w:rPr>
            </w:pPr>
            <w:r w:rsidRPr="00490E09">
              <w:rPr>
                <w:rFonts w:ascii="Times New Roman" w:eastAsia="Times New Roman" w:hAnsi="Times New Roman" w:cs="Times New Roman"/>
                <w:color w:val="000000"/>
                <w:sz w:val="24"/>
                <w:szCs w:val="24"/>
              </w:rPr>
              <w:t>Against SARS-CoV-1, EC50 17.1 ± 1 µM in Vero E6 cells</w:t>
            </w:r>
          </w:p>
          <w:p w:rsidR="00A97D0D" w:rsidRPr="00490E09" w:rsidRDefault="00A97D0D" w:rsidP="00D70DDC">
            <w:pPr>
              <w:autoSpaceDE w:val="0"/>
              <w:autoSpaceDN w:val="0"/>
              <w:adjustRightInd w:val="0"/>
              <w:rPr>
                <w:rFonts w:ascii="Times New Roman" w:eastAsia="Times New Roman" w:hAnsi="Times New Roman" w:cs="Times New Roman"/>
                <w:color w:val="000000"/>
                <w:sz w:val="24"/>
                <w:szCs w:val="24"/>
              </w:rPr>
            </w:pPr>
          </w:p>
          <w:p w:rsidR="00A97D0D" w:rsidRPr="00490E09" w:rsidRDefault="00A97D0D" w:rsidP="00D70DDC">
            <w:pPr>
              <w:autoSpaceDE w:val="0"/>
              <w:autoSpaceDN w:val="0"/>
              <w:adjustRightInd w:val="0"/>
              <w:rPr>
                <w:rFonts w:ascii="Times New Roman" w:eastAsia="Times New Roman" w:hAnsi="Times New Roman" w:cs="Times New Roman"/>
                <w:color w:val="000000"/>
                <w:sz w:val="24"/>
                <w:szCs w:val="24"/>
              </w:rPr>
            </w:pPr>
            <w:r w:rsidRPr="00490E09">
              <w:rPr>
                <w:rFonts w:ascii="Times New Roman" w:eastAsia="Times New Roman" w:hAnsi="Times New Roman" w:cs="Times New Roman"/>
                <w:color w:val="000000"/>
                <w:sz w:val="24"/>
                <w:szCs w:val="24"/>
              </w:rPr>
              <w:t>No in vitro data for LPV/r in SARS-CoV-2 exist</w:t>
            </w:r>
          </w:p>
          <w:p w:rsidR="00A97D0D" w:rsidRPr="00490E09" w:rsidRDefault="00A97D0D" w:rsidP="00D70DDC">
            <w:pPr>
              <w:autoSpaceDE w:val="0"/>
              <w:autoSpaceDN w:val="0"/>
              <w:adjustRightInd w:val="0"/>
              <w:rPr>
                <w:rFonts w:ascii="Times New Roman" w:eastAsia="Times New Roman" w:hAnsi="Times New Roman" w:cs="Times New Roman"/>
                <w:color w:val="000000"/>
                <w:sz w:val="24"/>
                <w:szCs w:val="24"/>
              </w:rPr>
            </w:pPr>
          </w:p>
          <w:p w:rsidR="00A97D0D" w:rsidRPr="00490E09" w:rsidRDefault="00A97D0D" w:rsidP="00D70DDC">
            <w:pPr>
              <w:autoSpaceDE w:val="0"/>
              <w:autoSpaceDN w:val="0"/>
              <w:adjustRightInd w:val="0"/>
              <w:rPr>
                <w:rFonts w:ascii="Times New Roman" w:eastAsia="Times New Roman" w:hAnsi="Times New Roman" w:cs="Times New Roman"/>
                <w:color w:val="000000"/>
                <w:sz w:val="24"/>
                <w:szCs w:val="24"/>
              </w:rPr>
            </w:pPr>
          </w:p>
          <w:p w:rsidR="00A97D0D" w:rsidRPr="00490E09" w:rsidRDefault="00A97D0D" w:rsidP="00D70DDC">
            <w:pPr>
              <w:autoSpaceDE w:val="0"/>
              <w:autoSpaceDN w:val="0"/>
              <w:adjustRightInd w:val="0"/>
              <w:rPr>
                <w:rFonts w:ascii="Times New Roman" w:eastAsia="Times New Roman" w:hAnsi="Times New Roman" w:cs="Times New Roman"/>
                <w:color w:val="000000"/>
                <w:sz w:val="24"/>
                <w:szCs w:val="24"/>
              </w:rPr>
            </w:pPr>
          </w:p>
        </w:tc>
        <w:tc>
          <w:tcPr>
            <w:tcW w:w="1097" w:type="dxa"/>
          </w:tcPr>
          <w:p w:rsidR="00A97D0D" w:rsidRPr="00490E09" w:rsidRDefault="00A97D0D" w:rsidP="00D70DDC">
            <w:pPr>
              <w:rPr>
                <w:rFonts w:ascii="Times New Roman" w:hAnsi="Times New Roman" w:cs="Times New Roman"/>
                <w:sz w:val="24"/>
                <w:szCs w:val="24"/>
              </w:rPr>
            </w:pPr>
            <w:r w:rsidRPr="00490E09">
              <w:rPr>
                <w:rFonts w:ascii="Times New Roman" w:hAnsi="Times New Roman" w:cs="Times New Roman"/>
                <w:sz w:val="24"/>
                <w:szCs w:val="24"/>
              </w:rPr>
              <w:t>5.98 ± 5.75 L/hr</w:t>
            </w:r>
          </w:p>
        </w:tc>
        <w:tc>
          <w:tcPr>
            <w:tcW w:w="933" w:type="dxa"/>
          </w:tcPr>
          <w:p w:rsidR="00A97D0D" w:rsidRPr="00490E09" w:rsidRDefault="00A97D0D" w:rsidP="00D70DDC">
            <w:pPr>
              <w:rPr>
                <w:rFonts w:ascii="Times New Roman" w:hAnsi="Times New Roman" w:cs="Times New Roman"/>
                <w:sz w:val="24"/>
                <w:szCs w:val="24"/>
              </w:rPr>
            </w:pPr>
            <w:r w:rsidRPr="00490E09">
              <w:rPr>
                <w:rFonts w:ascii="Times New Roman" w:eastAsia="Times New Roman" w:hAnsi="Times New Roman" w:cs="Times New Roman"/>
                <w:color w:val="000000"/>
                <w:sz w:val="24"/>
                <w:szCs w:val="24"/>
              </w:rPr>
              <w:t>Single dose: 2 to 3 hours Multiple-doses 4 to 6 hours</w:t>
            </w:r>
          </w:p>
        </w:tc>
        <w:tc>
          <w:tcPr>
            <w:tcW w:w="1460" w:type="dxa"/>
          </w:tcPr>
          <w:p w:rsidR="00A97D0D" w:rsidRPr="00490E09" w:rsidRDefault="00A97D0D" w:rsidP="00D70DDC">
            <w:pPr>
              <w:autoSpaceDE w:val="0"/>
              <w:autoSpaceDN w:val="0"/>
              <w:adjustRightInd w:val="0"/>
              <w:rPr>
                <w:rFonts w:ascii="Times New Roman" w:eastAsia="Times New Roman" w:hAnsi="Times New Roman" w:cs="Times New Roman"/>
                <w:color w:val="000000"/>
                <w:sz w:val="24"/>
                <w:szCs w:val="24"/>
              </w:rPr>
            </w:pPr>
            <w:r w:rsidRPr="00490E09">
              <w:rPr>
                <w:rFonts w:ascii="Times New Roman" w:eastAsia="Times New Roman" w:hAnsi="Times New Roman" w:cs="Times New Roman"/>
                <w:color w:val="000000"/>
                <w:sz w:val="24"/>
                <w:szCs w:val="24"/>
              </w:rPr>
              <w:t>CYP3A4 (SINH)</w:t>
            </w:r>
          </w:p>
          <w:p w:rsidR="00A97D0D" w:rsidRPr="00490E09" w:rsidRDefault="00A97D0D" w:rsidP="00D70DDC">
            <w:pPr>
              <w:rPr>
                <w:rFonts w:ascii="Times New Roman" w:hAnsi="Times New Roman" w:cs="Times New Roman"/>
                <w:sz w:val="24"/>
                <w:szCs w:val="24"/>
              </w:rPr>
            </w:pPr>
          </w:p>
        </w:tc>
        <w:tc>
          <w:tcPr>
            <w:tcW w:w="882" w:type="dxa"/>
          </w:tcPr>
          <w:p w:rsidR="00A97D0D" w:rsidRPr="00490E09" w:rsidRDefault="00A97D0D" w:rsidP="00D70DDC">
            <w:pPr>
              <w:rPr>
                <w:rFonts w:ascii="Times New Roman" w:hAnsi="Times New Roman" w:cs="Times New Roman"/>
                <w:sz w:val="24"/>
                <w:szCs w:val="24"/>
              </w:rPr>
            </w:pPr>
            <w:r w:rsidRPr="00490E09">
              <w:rPr>
                <w:rFonts w:ascii="Times New Roman" w:hAnsi="Times New Roman" w:cs="Times New Roman"/>
                <w:sz w:val="24"/>
                <w:szCs w:val="24"/>
              </w:rPr>
              <w:t>Ritonavir-</w:t>
            </w:r>
          </w:p>
          <w:p w:rsidR="00A97D0D" w:rsidRPr="00490E09" w:rsidRDefault="00A97D0D" w:rsidP="00D70DDC">
            <w:pPr>
              <w:rPr>
                <w:rFonts w:ascii="Times New Roman" w:hAnsi="Times New Roman" w:cs="Times New Roman"/>
                <w:sz w:val="24"/>
                <w:szCs w:val="24"/>
              </w:rPr>
            </w:pPr>
            <w:r w:rsidRPr="00490E09">
              <w:rPr>
                <w:rFonts w:ascii="Times New Roman" w:hAnsi="Times New Roman" w:cs="Times New Roman"/>
                <w:sz w:val="24"/>
                <w:szCs w:val="24"/>
              </w:rPr>
              <w:t>0.14 µM</w:t>
            </w:r>
          </w:p>
          <w:p w:rsidR="00A97D0D" w:rsidRPr="00490E09" w:rsidRDefault="00A97D0D" w:rsidP="00D70DDC">
            <w:pPr>
              <w:rPr>
                <w:rFonts w:ascii="Times New Roman" w:hAnsi="Times New Roman" w:cs="Times New Roman"/>
                <w:sz w:val="24"/>
                <w:szCs w:val="24"/>
              </w:rPr>
            </w:pPr>
            <w:r w:rsidRPr="00490E09">
              <w:rPr>
                <w:rFonts w:ascii="Times New Roman" w:hAnsi="Times New Roman" w:cs="Times New Roman"/>
                <w:sz w:val="24"/>
                <w:szCs w:val="24"/>
              </w:rPr>
              <w:t>Lopinavir-</w:t>
            </w:r>
          </w:p>
          <w:p w:rsidR="00A97D0D" w:rsidRPr="00490E09" w:rsidRDefault="00A97D0D" w:rsidP="00D70DDC">
            <w:pPr>
              <w:rPr>
                <w:rFonts w:ascii="Times New Roman" w:hAnsi="Times New Roman" w:cs="Times New Roman"/>
                <w:sz w:val="24"/>
                <w:szCs w:val="24"/>
              </w:rPr>
            </w:pPr>
            <w:r w:rsidRPr="00490E09">
              <w:rPr>
                <w:rFonts w:ascii="Times New Roman" w:hAnsi="Times New Roman" w:cs="Times New Roman"/>
                <w:sz w:val="24"/>
                <w:szCs w:val="24"/>
              </w:rPr>
              <w:t>7.3 µM</w:t>
            </w:r>
          </w:p>
        </w:tc>
      </w:tr>
      <w:tr w:rsidR="00A97D0D" w:rsidRPr="00490E09" w:rsidTr="00834DDA">
        <w:trPr>
          <w:trHeight w:val="260"/>
        </w:trPr>
        <w:tc>
          <w:tcPr>
            <w:tcW w:w="1012" w:type="dxa"/>
            <w:vMerge/>
          </w:tcPr>
          <w:p w:rsidR="00A97D0D" w:rsidRPr="00490E09" w:rsidRDefault="00A97D0D" w:rsidP="00D70DDC">
            <w:pPr>
              <w:tabs>
                <w:tab w:val="left" w:pos="625"/>
              </w:tabs>
              <w:rPr>
                <w:rFonts w:ascii="Times New Roman" w:hAnsi="Times New Roman" w:cs="Times New Roman"/>
                <w:sz w:val="24"/>
                <w:szCs w:val="24"/>
              </w:rPr>
            </w:pPr>
          </w:p>
        </w:tc>
        <w:tc>
          <w:tcPr>
            <w:tcW w:w="2498" w:type="dxa"/>
          </w:tcPr>
          <w:p w:rsidR="00A97D0D" w:rsidRPr="00490E09" w:rsidRDefault="00A97D0D" w:rsidP="00D70DDC">
            <w:pPr>
              <w:autoSpaceDE w:val="0"/>
              <w:autoSpaceDN w:val="0"/>
              <w:adjustRightInd w:val="0"/>
              <w:rPr>
                <w:rFonts w:ascii="Times New Roman" w:eastAsia="Times New Roman" w:hAnsi="Times New Roman" w:cs="Times New Roman"/>
                <w:b/>
                <w:bCs/>
                <w:color w:val="000000"/>
                <w:sz w:val="24"/>
                <w:szCs w:val="24"/>
              </w:rPr>
            </w:pPr>
            <w:r w:rsidRPr="00490E09">
              <w:rPr>
                <w:rFonts w:ascii="Times New Roman" w:eastAsia="Times New Roman" w:hAnsi="Times New Roman" w:cs="Times New Roman"/>
                <w:b/>
                <w:bCs/>
                <w:color w:val="000000"/>
                <w:sz w:val="24"/>
                <w:szCs w:val="24"/>
              </w:rPr>
              <w:t>Ritonavir/lopinavir +</w:t>
            </w:r>
          </w:p>
          <w:p w:rsidR="00A97D0D" w:rsidRPr="00490E09" w:rsidRDefault="00A97D0D" w:rsidP="00516AC8">
            <w:pPr>
              <w:rPr>
                <w:rFonts w:ascii="Times New Roman" w:hAnsi="Times New Roman" w:cs="Times New Roman"/>
                <w:sz w:val="24"/>
                <w:szCs w:val="24"/>
              </w:rPr>
            </w:pPr>
            <w:r w:rsidRPr="00490E09">
              <w:rPr>
                <w:rFonts w:ascii="Times New Roman" w:eastAsia="Times New Roman" w:hAnsi="Times New Roman" w:cs="Times New Roman"/>
                <w:b/>
                <w:bCs/>
                <w:color w:val="000000"/>
                <w:sz w:val="24"/>
                <w:szCs w:val="24"/>
              </w:rPr>
              <w:t xml:space="preserve">interferon-beta </w:t>
            </w:r>
            <w:r w:rsidRPr="00490E09">
              <w:rPr>
                <w:rFonts w:ascii="Times New Roman" w:eastAsia="Times New Roman" w:hAnsi="Times New Roman" w:cs="Times New Roman"/>
                <w:b/>
                <w:bCs/>
                <w:color w:val="000000"/>
                <w:sz w:val="24"/>
                <w:szCs w:val="24"/>
              </w:rPr>
              <w:lastRenderedPageBreak/>
              <w:t>1a</w:t>
            </w:r>
            <w:r w:rsidR="00227D05" w:rsidRPr="00490E09">
              <w:rPr>
                <w:rFonts w:ascii="Times New Roman" w:eastAsia="Times New Roman" w:hAnsi="Times New Roman" w:cs="Times New Roman"/>
                <w:b/>
                <w:bCs/>
                <w:color w:val="000000"/>
                <w:sz w:val="24"/>
                <w:szCs w:val="24"/>
              </w:rPr>
              <w:fldChar w:fldCharType="begin" w:fldLock="1"/>
            </w:r>
            <w:r w:rsidR="00516AC8">
              <w:rPr>
                <w:rFonts w:ascii="Times New Roman" w:eastAsia="Times New Roman" w:hAnsi="Times New Roman" w:cs="Times New Roman"/>
                <w:b/>
                <w:bCs/>
                <w:color w:val="000000"/>
                <w:sz w:val="24"/>
                <w:szCs w:val="24"/>
              </w:rPr>
              <w:instrText>ADDIN CSL_CITATION {"citationItems":[{"id":"ITEM-1","itemData":{"abstract":"Salmon, P., et al., Pharmacokinetics and pharmacodynamics of recombinant human interferon-β in healthy male volunteers. Journal of interferon &amp; cytokine research, 1996. 16(10): p. 759-764.","author":[{"dropping-particle":"al","family":"Salmon, P.","given":"et","non-dropping-particle":"","parse-names":false,"suffix":""}],"container-title":"Journal of interferon &amp; cytokine research","id":"ITEM-1","issue":"10","issued":{"date-parts":[["1996"]]},"page":"759-764","title":"Pharmacokinetics and pharmacodynamics of recombinant human interferon-β in healthy male volunteers","type":"article-journal","volume":"16"},"uris":["http://www.mendeley.com/documents/?uuid=b27c7c4c-1e83-46c4-9a8a-58c25b595bde","http://www.mendeley.com/documents/?uuid=4d6067f5-ea4f-43c5-a70b-a73b9a0c0176"]}],"mendeley":{"formattedCitation":"&lt;sup&gt;12&lt;/sup&gt;","plainTextFormattedCitation":"12","previouslyFormattedCitation":"(12)"},"properties":{"noteIndex":0},"schema":"https://github.com/citation-style-language/schema/raw/master/csl-citation.json"}</w:instrText>
            </w:r>
            <w:r w:rsidR="00227D05" w:rsidRPr="00490E09">
              <w:rPr>
                <w:rFonts w:ascii="Times New Roman" w:eastAsia="Times New Roman" w:hAnsi="Times New Roman" w:cs="Times New Roman"/>
                <w:b/>
                <w:bCs/>
                <w:color w:val="000000"/>
                <w:sz w:val="24"/>
                <w:szCs w:val="24"/>
              </w:rPr>
              <w:fldChar w:fldCharType="separate"/>
            </w:r>
            <w:r w:rsidR="00516AC8" w:rsidRPr="00516AC8">
              <w:rPr>
                <w:rFonts w:ascii="Times New Roman" w:eastAsia="Times New Roman" w:hAnsi="Times New Roman" w:cs="Times New Roman"/>
                <w:bCs/>
                <w:noProof/>
                <w:color w:val="000000"/>
                <w:sz w:val="24"/>
                <w:szCs w:val="24"/>
                <w:vertAlign w:val="superscript"/>
              </w:rPr>
              <w:t>12</w:t>
            </w:r>
            <w:r w:rsidR="00227D05" w:rsidRPr="00490E09">
              <w:rPr>
                <w:rFonts w:ascii="Times New Roman" w:eastAsia="Times New Roman" w:hAnsi="Times New Roman" w:cs="Times New Roman"/>
                <w:b/>
                <w:bCs/>
                <w:color w:val="000000"/>
                <w:sz w:val="24"/>
                <w:szCs w:val="24"/>
              </w:rPr>
              <w:fldChar w:fldCharType="end"/>
            </w:r>
            <w:r w:rsidR="00245191">
              <w:rPr>
                <w:rFonts w:ascii="Times New Roman" w:eastAsia="Times New Roman" w:hAnsi="Times New Roman" w:cs="Times New Roman"/>
                <w:bCs/>
                <w:color w:val="000000"/>
                <w:sz w:val="24"/>
                <w:szCs w:val="24"/>
                <w:vertAlign w:val="superscript"/>
              </w:rPr>
              <w:t>,</w:t>
            </w:r>
            <w:r w:rsidR="00227D05" w:rsidRPr="00490E09">
              <w:rPr>
                <w:rFonts w:ascii="Times New Roman" w:eastAsia="Times New Roman" w:hAnsi="Times New Roman" w:cs="Times New Roman"/>
                <w:b/>
                <w:bCs/>
                <w:color w:val="000000"/>
                <w:sz w:val="24"/>
                <w:szCs w:val="24"/>
              </w:rPr>
              <w:fldChar w:fldCharType="begin" w:fldLock="1"/>
            </w:r>
            <w:r w:rsidR="00516AC8">
              <w:rPr>
                <w:rFonts w:ascii="Times New Roman" w:eastAsia="Times New Roman" w:hAnsi="Times New Roman" w:cs="Times New Roman"/>
                <w:b/>
                <w:bCs/>
                <w:color w:val="000000"/>
                <w:sz w:val="24"/>
                <w:szCs w:val="24"/>
              </w:rPr>
              <w:instrText>ADDIN CSL_CITATION {"citationItems":[{"id":"ITEM-1","itemData":{"abstract":"Hu, X., et al., COMPARE: Pharmacokinetic profiles of subcutaneous peginterferon beta‐1a and subcutaneous interferon beta‐1a over 2 weeks in healthy subjects. British journal of clinical pharmacology, 2016. 82(2): p. 380-388.","author":[{"dropping-particle":"al","family":"Hu, X.","given":"et","non-dropping-particle":"","parse-names":false,"suffix":""}],"container-title":"British journal of clinical pharmacology","id":"ITEM-1","issue":"2","issued":{"date-parts":[["2016"]]},"page":"380-388","title":"COMPARE: Pharmacokinetic profiles of subcutaneous peginterferon beta‐1a and subcutaneous interferon beta‐1a over 2 weeks in healthy subjects","type":"article-journal","volume":"82"},"uris":["http://www.mendeley.com/documents/?uuid=80128f12-8624-41a2-a3cd-9a8b8d3c85e5","http://www.mendeley.com/documents/?uuid=cf66ea89-f302-423d-a9b7-7f740a78dd03"]}],"mendeley":{"formattedCitation":"&lt;sup&gt;13&lt;/sup&gt;","plainTextFormattedCitation":"13","previouslyFormattedCitation":"(13)"},"properties":{"noteIndex":0},"schema":"https://github.com/citation-style-language/schema/raw/master/csl-citation.json"}</w:instrText>
            </w:r>
            <w:r w:rsidR="00227D05" w:rsidRPr="00490E09">
              <w:rPr>
                <w:rFonts w:ascii="Times New Roman" w:eastAsia="Times New Roman" w:hAnsi="Times New Roman" w:cs="Times New Roman"/>
                <w:b/>
                <w:bCs/>
                <w:color w:val="000000"/>
                <w:sz w:val="24"/>
                <w:szCs w:val="24"/>
              </w:rPr>
              <w:fldChar w:fldCharType="separate"/>
            </w:r>
            <w:r w:rsidR="00516AC8" w:rsidRPr="00516AC8">
              <w:rPr>
                <w:rFonts w:ascii="Times New Roman" w:eastAsia="Times New Roman" w:hAnsi="Times New Roman" w:cs="Times New Roman"/>
                <w:bCs/>
                <w:noProof/>
                <w:color w:val="000000"/>
                <w:sz w:val="24"/>
                <w:szCs w:val="24"/>
                <w:vertAlign w:val="superscript"/>
              </w:rPr>
              <w:t>13</w:t>
            </w:r>
            <w:r w:rsidR="00227D05" w:rsidRPr="00490E09">
              <w:rPr>
                <w:rFonts w:ascii="Times New Roman" w:eastAsia="Times New Roman" w:hAnsi="Times New Roman" w:cs="Times New Roman"/>
                <w:b/>
                <w:bCs/>
                <w:color w:val="000000"/>
                <w:sz w:val="24"/>
                <w:szCs w:val="24"/>
              </w:rPr>
              <w:fldChar w:fldCharType="end"/>
            </w:r>
            <w:r w:rsidR="00245191">
              <w:rPr>
                <w:rFonts w:ascii="Times New Roman" w:eastAsia="Times New Roman" w:hAnsi="Times New Roman" w:cs="Times New Roman"/>
                <w:bCs/>
                <w:color w:val="000000"/>
                <w:sz w:val="24"/>
                <w:szCs w:val="24"/>
                <w:vertAlign w:val="superscript"/>
              </w:rPr>
              <w:t>,</w:t>
            </w:r>
            <w:r w:rsidR="00227D05" w:rsidRPr="00490E09">
              <w:rPr>
                <w:rFonts w:ascii="Times New Roman" w:eastAsia="Times New Roman" w:hAnsi="Times New Roman" w:cs="Times New Roman"/>
                <w:b/>
                <w:bCs/>
                <w:color w:val="000000"/>
                <w:sz w:val="24"/>
                <w:szCs w:val="24"/>
              </w:rPr>
              <w:fldChar w:fldCharType="begin" w:fldLock="1"/>
            </w:r>
            <w:r w:rsidR="00516AC8">
              <w:rPr>
                <w:rFonts w:ascii="Times New Roman" w:eastAsia="Times New Roman" w:hAnsi="Times New Roman" w:cs="Times New Roman"/>
                <w:b/>
                <w:bCs/>
                <w:color w:val="000000"/>
                <w:sz w:val="24"/>
                <w:szCs w:val="24"/>
              </w:rPr>
              <w:instrText>ADDIN CSL_CITATION {"citationItems":[{"id":"ITEM-1","itemData":{"abstract":"Delaporte, E. and K.W. Renton, Cytochrome P4501A1 and cytochrome P4501A2 are downregulated at both transcriptional and post-transcriptional levels by conditions resulting in interferon-α/β induction. Life sciences, 1997. 60(10): p. 787-796.","author":[{"dropping-particle":"","family":"Delaporte","given":"E. and K.W. Renton","non-dropping-particle":"","parse-names":false,"suffix":""}],"container-title":"Life sciences","id":"ITEM-1","issue":"10","issued":{"date-parts":[["1997"]]},"page":"787-796","title":"Cytochrome P4501A1 and cytochrome P4501A2 are downregulated at both transcriptional and post-transcriptional levels by conditions resulting in interferon-α/β induction","type":"article-journal","volume":"60"},"uris":["http://www.mendeley.com/documents/?uuid=8a3d5f27-4da0-4fef-8039-abaf70949fff","http://www.mendeley.com/documents/?uuid=73ffaa16-3008-4dd0-b5e5-bb113db81bc5"]}],"mendeley":{"formattedCitation":"&lt;sup&gt;14&lt;/sup&gt;","plainTextFormattedCitation":"14","previouslyFormattedCitation":"(14)"},"properties":{"noteIndex":0},"schema":"https://github.com/citation-style-language/schema/raw/master/csl-citation.json"}</w:instrText>
            </w:r>
            <w:r w:rsidR="00227D05" w:rsidRPr="00490E09">
              <w:rPr>
                <w:rFonts w:ascii="Times New Roman" w:eastAsia="Times New Roman" w:hAnsi="Times New Roman" w:cs="Times New Roman"/>
                <w:b/>
                <w:bCs/>
                <w:color w:val="000000"/>
                <w:sz w:val="24"/>
                <w:szCs w:val="24"/>
              </w:rPr>
              <w:fldChar w:fldCharType="separate"/>
            </w:r>
            <w:r w:rsidR="00516AC8" w:rsidRPr="00516AC8">
              <w:rPr>
                <w:rFonts w:ascii="Times New Roman" w:eastAsia="Times New Roman" w:hAnsi="Times New Roman" w:cs="Times New Roman"/>
                <w:bCs/>
                <w:noProof/>
                <w:color w:val="000000"/>
                <w:sz w:val="24"/>
                <w:szCs w:val="24"/>
                <w:vertAlign w:val="superscript"/>
              </w:rPr>
              <w:t>14</w:t>
            </w:r>
            <w:r w:rsidR="00227D05" w:rsidRPr="00490E09">
              <w:rPr>
                <w:rFonts w:ascii="Times New Roman" w:eastAsia="Times New Roman" w:hAnsi="Times New Roman" w:cs="Times New Roman"/>
                <w:b/>
                <w:bCs/>
                <w:color w:val="000000"/>
                <w:sz w:val="24"/>
                <w:szCs w:val="24"/>
              </w:rPr>
              <w:fldChar w:fldCharType="end"/>
            </w:r>
            <w:r w:rsidRPr="00490E09">
              <w:rPr>
                <w:rFonts w:ascii="Times New Roman" w:eastAsia="Times New Roman" w:hAnsi="Times New Roman" w:cs="Times New Roman"/>
                <w:b/>
                <w:bCs/>
                <w:color w:val="000000"/>
                <w:sz w:val="24"/>
                <w:szCs w:val="24"/>
              </w:rPr>
              <w:t>:</w:t>
            </w:r>
            <w:r w:rsidRPr="00490E09">
              <w:rPr>
                <w:rFonts w:ascii="Times New Roman" w:eastAsia="Times New Roman" w:hAnsi="Times New Roman" w:cs="Times New Roman"/>
                <w:color w:val="000000"/>
                <w:sz w:val="24"/>
                <w:szCs w:val="24"/>
              </w:rPr>
              <w:t>(0.25mg subcutaneous injection alternate day for 3 days)</w:t>
            </w:r>
          </w:p>
        </w:tc>
        <w:tc>
          <w:tcPr>
            <w:tcW w:w="1560" w:type="dxa"/>
          </w:tcPr>
          <w:p w:rsidR="00A97D0D" w:rsidRPr="00490E09" w:rsidRDefault="00A97D0D" w:rsidP="00D70DDC">
            <w:pPr>
              <w:rPr>
                <w:rFonts w:ascii="Times New Roman" w:hAnsi="Times New Roman" w:cs="Times New Roman"/>
                <w:sz w:val="24"/>
                <w:szCs w:val="24"/>
              </w:rPr>
            </w:pPr>
            <w:r w:rsidRPr="00490E09">
              <w:rPr>
                <w:rFonts w:ascii="Times New Roman" w:eastAsia="Times New Roman" w:hAnsi="Times New Roman" w:cs="Times New Roman"/>
                <w:color w:val="000000"/>
                <w:sz w:val="24"/>
                <w:szCs w:val="24"/>
              </w:rPr>
              <w:lastRenderedPageBreak/>
              <w:t>16</w:t>
            </w:r>
          </w:p>
        </w:tc>
        <w:tc>
          <w:tcPr>
            <w:tcW w:w="992" w:type="dxa"/>
          </w:tcPr>
          <w:p w:rsidR="00A97D0D" w:rsidRPr="00490E09" w:rsidRDefault="00A97D0D" w:rsidP="00D70DDC">
            <w:pPr>
              <w:rPr>
                <w:rFonts w:ascii="Times New Roman" w:hAnsi="Times New Roman" w:cs="Times New Roman"/>
                <w:sz w:val="24"/>
                <w:szCs w:val="24"/>
              </w:rPr>
            </w:pPr>
          </w:p>
        </w:tc>
        <w:tc>
          <w:tcPr>
            <w:tcW w:w="1559" w:type="dxa"/>
          </w:tcPr>
          <w:p w:rsidR="00A97D0D" w:rsidRPr="00490E09" w:rsidRDefault="00A97D0D" w:rsidP="00D70DDC">
            <w:pPr>
              <w:rPr>
                <w:rFonts w:ascii="Times New Roman" w:hAnsi="Times New Roman" w:cs="Times New Roman"/>
                <w:sz w:val="24"/>
                <w:szCs w:val="24"/>
              </w:rPr>
            </w:pPr>
            <w:r w:rsidRPr="00490E09">
              <w:rPr>
                <w:rFonts w:ascii="Times New Roman" w:eastAsia="Times New Roman" w:hAnsi="Times New Roman" w:cs="Times New Roman"/>
                <w:color w:val="000000"/>
                <w:sz w:val="24"/>
                <w:szCs w:val="24"/>
              </w:rPr>
              <w:t>1.3 IU/ml</w:t>
            </w:r>
          </w:p>
        </w:tc>
        <w:tc>
          <w:tcPr>
            <w:tcW w:w="2181" w:type="dxa"/>
          </w:tcPr>
          <w:p w:rsidR="00A97D0D" w:rsidRPr="00490E09" w:rsidRDefault="00A97D0D" w:rsidP="00D70DDC">
            <w:pPr>
              <w:rPr>
                <w:rFonts w:ascii="Times New Roman" w:hAnsi="Times New Roman" w:cs="Times New Roman"/>
                <w:sz w:val="24"/>
                <w:szCs w:val="24"/>
              </w:rPr>
            </w:pPr>
            <w:r w:rsidRPr="00490E09">
              <w:rPr>
                <w:rFonts w:ascii="Times New Roman" w:eastAsia="Times New Roman" w:hAnsi="Times New Roman" w:cs="Times New Roman"/>
                <w:color w:val="000000"/>
                <w:sz w:val="24"/>
                <w:szCs w:val="24"/>
              </w:rPr>
              <w:t>1.51</w:t>
            </w:r>
            <w:r w:rsidRPr="00490E09">
              <w:rPr>
                <w:rFonts w:ascii="Times New Roman" w:eastAsia="Times New Roman" w:hAnsi="Times New Roman" w:cs="Times New Roman"/>
                <w:color w:val="000000"/>
                <w:sz w:val="24"/>
                <w:szCs w:val="24"/>
              </w:rPr>
              <w:t> </w:t>
            </w:r>
            <w:r w:rsidRPr="00490E09">
              <w:rPr>
                <w:rFonts w:ascii="Times New Roman" w:eastAsia="Times New Roman" w:hAnsi="Times New Roman" w:cs="Times New Roman"/>
                <w:color w:val="000000"/>
                <w:sz w:val="24"/>
                <w:szCs w:val="24"/>
              </w:rPr>
              <w:t>ng/ml</w:t>
            </w:r>
          </w:p>
        </w:tc>
        <w:tc>
          <w:tcPr>
            <w:tcW w:w="1097" w:type="dxa"/>
          </w:tcPr>
          <w:p w:rsidR="00A97D0D" w:rsidRPr="00490E09" w:rsidRDefault="00A97D0D" w:rsidP="00D70DDC">
            <w:pPr>
              <w:rPr>
                <w:rFonts w:ascii="Times New Roman" w:hAnsi="Times New Roman" w:cs="Times New Roman"/>
                <w:sz w:val="24"/>
                <w:szCs w:val="24"/>
              </w:rPr>
            </w:pPr>
          </w:p>
        </w:tc>
        <w:tc>
          <w:tcPr>
            <w:tcW w:w="933" w:type="dxa"/>
          </w:tcPr>
          <w:p w:rsidR="00A97D0D" w:rsidRPr="00490E09" w:rsidRDefault="00A97D0D" w:rsidP="00D70DDC">
            <w:pPr>
              <w:rPr>
                <w:rFonts w:ascii="Times New Roman" w:hAnsi="Times New Roman" w:cs="Times New Roman"/>
                <w:sz w:val="24"/>
                <w:szCs w:val="24"/>
              </w:rPr>
            </w:pPr>
            <w:r w:rsidRPr="00490E09">
              <w:rPr>
                <w:rFonts w:ascii="Times New Roman" w:eastAsia="Times New Roman" w:hAnsi="Times New Roman" w:cs="Times New Roman"/>
                <w:color w:val="000000"/>
                <w:sz w:val="24"/>
                <w:szCs w:val="24"/>
              </w:rPr>
              <w:t>5-10 h</w:t>
            </w:r>
          </w:p>
        </w:tc>
        <w:tc>
          <w:tcPr>
            <w:tcW w:w="1460" w:type="dxa"/>
          </w:tcPr>
          <w:p w:rsidR="00A97D0D" w:rsidRPr="00490E09" w:rsidRDefault="00A97D0D" w:rsidP="00D70DDC">
            <w:pPr>
              <w:autoSpaceDE w:val="0"/>
              <w:autoSpaceDN w:val="0"/>
              <w:adjustRightInd w:val="0"/>
              <w:rPr>
                <w:rFonts w:ascii="Times New Roman" w:eastAsia="Times New Roman" w:hAnsi="Times New Roman" w:cs="Times New Roman"/>
                <w:color w:val="000000"/>
                <w:sz w:val="24"/>
                <w:szCs w:val="24"/>
              </w:rPr>
            </w:pPr>
            <w:r w:rsidRPr="00490E09">
              <w:rPr>
                <w:rFonts w:ascii="Times New Roman" w:eastAsia="Times New Roman" w:hAnsi="Times New Roman" w:cs="Times New Roman"/>
                <w:color w:val="000000"/>
                <w:sz w:val="24"/>
                <w:szCs w:val="24"/>
              </w:rPr>
              <w:t xml:space="preserve">CYP3A4 (SINH) for </w:t>
            </w:r>
            <w:r w:rsidRPr="00490E09">
              <w:rPr>
                <w:rFonts w:ascii="Times New Roman" w:eastAsia="Times New Roman" w:hAnsi="Times New Roman" w:cs="Times New Roman"/>
                <w:color w:val="000000"/>
                <w:sz w:val="24"/>
                <w:szCs w:val="24"/>
              </w:rPr>
              <w:lastRenderedPageBreak/>
              <w:t>Ritonavir/Lopinavir and CYP1A2 (INH)</w:t>
            </w:r>
          </w:p>
          <w:p w:rsidR="00A97D0D" w:rsidRPr="00490E09" w:rsidRDefault="00A97D0D" w:rsidP="00D70DDC">
            <w:pPr>
              <w:rPr>
                <w:rFonts w:ascii="Times New Roman" w:hAnsi="Times New Roman" w:cs="Times New Roman"/>
                <w:sz w:val="24"/>
                <w:szCs w:val="24"/>
              </w:rPr>
            </w:pPr>
          </w:p>
        </w:tc>
        <w:tc>
          <w:tcPr>
            <w:tcW w:w="882" w:type="dxa"/>
          </w:tcPr>
          <w:p w:rsidR="00A97D0D" w:rsidRPr="00490E09" w:rsidRDefault="00A97D0D" w:rsidP="00D70DDC">
            <w:pPr>
              <w:rPr>
                <w:rFonts w:ascii="Times New Roman" w:hAnsi="Times New Roman" w:cs="Times New Roman"/>
                <w:sz w:val="24"/>
                <w:szCs w:val="24"/>
              </w:rPr>
            </w:pPr>
          </w:p>
        </w:tc>
      </w:tr>
      <w:tr w:rsidR="00A97D0D" w:rsidRPr="00490E09" w:rsidTr="00834DDA">
        <w:trPr>
          <w:trHeight w:val="260"/>
        </w:trPr>
        <w:tc>
          <w:tcPr>
            <w:tcW w:w="1012" w:type="dxa"/>
            <w:vMerge w:val="restart"/>
          </w:tcPr>
          <w:p w:rsidR="00A97D0D" w:rsidRPr="00490E09" w:rsidRDefault="00A97D0D" w:rsidP="00D70DDC">
            <w:pPr>
              <w:tabs>
                <w:tab w:val="left" w:pos="625"/>
              </w:tabs>
              <w:rPr>
                <w:rFonts w:ascii="Times New Roman" w:hAnsi="Times New Roman" w:cs="Times New Roman"/>
                <w:sz w:val="24"/>
                <w:szCs w:val="24"/>
              </w:rPr>
            </w:pPr>
            <w:r w:rsidRPr="00490E09">
              <w:rPr>
                <w:rFonts w:ascii="Times New Roman" w:hAnsi="Times New Roman" w:cs="Times New Roman"/>
                <w:sz w:val="24"/>
                <w:szCs w:val="24"/>
              </w:rPr>
              <w:lastRenderedPageBreak/>
              <w:t>Anti-hypertensive</w:t>
            </w:r>
          </w:p>
        </w:tc>
        <w:tc>
          <w:tcPr>
            <w:tcW w:w="2498" w:type="dxa"/>
          </w:tcPr>
          <w:p w:rsidR="00A97D0D" w:rsidRPr="00490E09" w:rsidRDefault="00A97D0D" w:rsidP="00516AC8">
            <w:pPr>
              <w:pStyle w:val="Default"/>
            </w:pPr>
            <w:r w:rsidRPr="00490E09">
              <w:rPr>
                <w:b/>
              </w:rPr>
              <w:t>Propranolol</w:t>
            </w:r>
            <w:r w:rsidR="00227D05" w:rsidRPr="00490E09">
              <w:rPr>
                <w:b/>
              </w:rPr>
              <w:fldChar w:fldCharType="begin" w:fldLock="1"/>
            </w:r>
            <w:r w:rsidR="00516AC8">
              <w:rPr>
                <w:b/>
              </w:rPr>
              <w:instrText>ADDIN CSL_CITATION {"citationItems":[{"id":"ITEM-1","itemData":{"URL":"https://www.accessdata.fda.gov/drugsatfda_docs/label/2011/016418s080,016762s017,017683s008lbl.pdf","author":[{"dropping-particle":"","family":"Accessdata.fda","given":"","non-dropping-particle":"","parse-names":false,"suffix":""}],"id":"ITEM-1","issued":{"date-parts":[["0"]]},"title":"Inderal (Propranolol hydrochloride tablets)","type":"webpage"},"uris":["http://www.mendeley.com/documents/?uuid=7ee3b410-b720-4d73-b562-84d9ce03f78c","http://www.mendeley.com/documents/?uuid=b8ccea4a-78f6-4b3e-a9dd-a7ce546d345e"]}],"mendeley":{"formattedCitation":"&lt;sup&gt;15&lt;/sup&gt;","plainTextFormattedCitation":"15","previouslyFormattedCitation":"(15)"},"properties":{"noteIndex":0},"schema":"https://github.com/citation-style-language/schema/raw/master/csl-citation.json"}</w:instrText>
            </w:r>
            <w:r w:rsidR="00227D05" w:rsidRPr="00490E09">
              <w:rPr>
                <w:b/>
              </w:rPr>
              <w:fldChar w:fldCharType="separate"/>
            </w:r>
            <w:r w:rsidR="00516AC8" w:rsidRPr="00516AC8">
              <w:rPr>
                <w:noProof/>
                <w:vertAlign w:val="superscript"/>
              </w:rPr>
              <w:t>15</w:t>
            </w:r>
            <w:r w:rsidR="00227D05" w:rsidRPr="00490E09">
              <w:rPr>
                <w:b/>
              </w:rPr>
              <w:fldChar w:fldCharType="end"/>
            </w:r>
            <w:r w:rsidR="00245191">
              <w:rPr>
                <w:vertAlign w:val="superscript"/>
              </w:rPr>
              <w:t>,</w:t>
            </w:r>
            <w:r w:rsidR="00227D05" w:rsidRPr="00490E09">
              <w:rPr>
                <w:b/>
              </w:rPr>
              <w:fldChar w:fldCharType="begin" w:fldLock="1"/>
            </w:r>
            <w:r w:rsidR="00516AC8">
              <w:rPr>
                <w:b/>
              </w:rPr>
              <w:instrText>ADDIN CSL_CITATION {"citationItems":[{"id":"ITEM-1","itemData":{"author":[{"dropping-particle":"","family":"Routledge","given":"P.A","non-dropping-particle":"","parse-names":false,"suffix":""},{"dropping-particle":"","family":"Shand","given":"D.G","non-dropping-particle":"","parse-names":false,"suffix":""}],"id":"ITEM-1","issue":"J 979","issued":{"date-parts":[["1977"]]},"page":"74-90","title":"Indwelling Cannulae 9.9 %","type":"article-journal"},"uris":["http://www.mendeley.com/documents/?uuid=a45bd895-c5f2-4363-8baa-00cd763ee223","http://www.mendeley.com/documents/?uuid=37ad9698-ae08-4db8-af06-1807bb85f5d5"]}],"mendeley":{"formattedCitation":"&lt;sup&gt;16&lt;/sup&gt;","plainTextFormattedCitation":"16","previouslyFormattedCitation":"(16)"},"properties":{"noteIndex":0},"schema":"https://github.com/citation-style-language/schema/raw/master/csl-citation.json"}</w:instrText>
            </w:r>
            <w:r w:rsidR="00227D05" w:rsidRPr="00490E09">
              <w:rPr>
                <w:b/>
              </w:rPr>
              <w:fldChar w:fldCharType="separate"/>
            </w:r>
            <w:r w:rsidR="00516AC8" w:rsidRPr="00516AC8">
              <w:rPr>
                <w:noProof/>
                <w:vertAlign w:val="superscript"/>
              </w:rPr>
              <w:t>16</w:t>
            </w:r>
            <w:r w:rsidR="00227D05" w:rsidRPr="00490E09">
              <w:rPr>
                <w:b/>
              </w:rPr>
              <w:fldChar w:fldCharType="end"/>
            </w:r>
            <w:r w:rsidRPr="00490E09">
              <w:rPr>
                <w:b/>
              </w:rPr>
              <w:t>:</w:t>
            </w:r>
            <w:r w:rsidRPr="00490E09">
              <w:t xml:space="preserve"> (10 mg, 20 mg, 40 mg, 60 mg, and 80 mg tablets for oral administration)</w:t>
            </w:r>
          </w:p>
        </w:tc>
        <w:tc>
          <w:tcPr>
            <w:tcW w:w="1560" w:type="dxa"/>
          </w:tcPr>
          <w:p w:rsidR="00A97D0D" w:rsidRPr="00490E09" w:rsidRDefault="00A97D0D" w:rsidP="00D70DDC">
            <w:pPr>
              <w:rPr>
                <w:rFonts w:ascii="Times New Roman" w:hAnsi="Times New Roman" w:cs="Times New Roman"/>
                <w:sz w:val="24"/>
                <w:szCs w:val="24"/>
              </w:rPr>
            </w:pPr>
            <w:r w:rsidRPr="00490E09">
              <w:rPr>
                <w:rFonts w:ascii="Times New Roman" w:hAnsi="Times New Roman" w:cs="Times New Roman"/>
                <w:sz w:val="24"/>
                <w:szCs w:val="24"/>
              </w:rPr>
              <w:t>50</w:t>
            </w:r>
          </w:p>
        </w:tc>
        <w:tc>
          <w:tcPr>
            <w:tcW w:w="992" w:type="dxa"/>
          </w:tcPr>
          <w:p w:rsidR="00A97D0D" w:rsidRPr="00490E09" w:rsidRDefault="00A97D0D" w:rsidP="00D70DDC">
            <w:pPr>
              <w:rPr>
                <w:rFonts w:ascii="Times New Roman" w:hAnsi="Times New Roman" w:cs="Times New Roman"/>
                <w:sz w:val="24"/>
                <w:szCs w:val="24"/>
              </w:rPr>
            </w:pPr>
            <w:r w:rsidRPr="00490E09">
              <w:rPr>
                <w:rFonts w:ascii="Times New Roman" w:hAnsi="Times New Roman" w:cs="Times New Roman"/>
                <w:sz w:val="24"/>
                <w:szCs w:val="24"/>
              </w:rPr>
              <w:t>90</w:t>
            </w:r>
          </w:p>
        </w:tc>
        <w:tc>
          <w:tcPr>
            <w:tcW w:w="1559" w:type="dxa"/>
          </w:tcPr>
          <w:p w:rsidR="00A97D0D" w:rsidRPr="00490E09" w:rsidRDefault="00A97D0D" w:rsidP="00D70DDC">
            <w:pPr>
              <w:rPr>
                <w:rFonts w:ascii="Times New Roman" w:hAnsi="Times New Roman" w:cs="Times New Roman"/>
                <w:sz w:val="24"/>
                <w:szCs w:val="24"/>
              </w:rPr>
            </w:pPr>
            <w:r w:rsidRPr="00490E09">
              <w:rPr>
                <w:rFonts w:ascii="Times New Roman" w:hAnsi="Times New Roman" w:cs="Times New Roman"/>
                <w:color w:val="000000"/>
                <w:sz w:val="24"/>
                <w:szCs w:val="24"/>
              </w:rPr>
              <w:t>26±1 ng/mL</w:t>
            </w:r>
          </w:p>
        </w:tc>
        <w:tc>
          <w:tcPr>
            <w:tcW w:w="2181" w:type="dxa"/>
          </w:tcPr>
          <w:p w:rsidR="00A97D0D" w:rsidRPr="00490E09" w:rsidRDefault="00A97D0D" w:rsidP="00D70DDC">
            <w:pPr>
              <w:rPr>
                <w:rFonts w:ascii="Times New Roman" w:hAnsi="Times New Roman" w:cs="Times New Roman"/>
                <w:sz w:val="24"/>
                <w:szCs w:val="24"/>
              </w:rPr>
            </w:pPr>
            <w:r w:rsidRPr="00490E09">
              <w:rPr>
                <w:rFonts w:ascii="Times New Roman" w:hAnsi="Times New Roman" w:cs="Times New Roman"/>
                <w:sz w:val="24"/>
                <w:szCs w:val="24"/>
              </w:rPr>
              <w:t>NA</w:t>
            </w:r>
          </w:p>
        </w:tc>
        <w:tc>
          <w:tcPr>
            <w:tcW w:w="1097" w:type="dxa"/>
          </w:tcPr>
          <w:p w:rsidR="00A97D0D" w:rsidRPr="00490E09" w:rsidRDefault="00A97D0D" w:rsidP="00D70DDC">
            <w:pPr>
              <w:rPr>
                <w:rFonts w:ascii="Times New Roman" w:hAnsi="Times New Roman" w:cs="Times New Roman"/>
                <w:sz w:val="24"/>
                <w:szCs w:val="24"/>
              </w:rPr>
            </w:pPr>
            <w:r w:rsidRPr="00490E09">
              <w:rPr>
                <w:rFonts w:ascii="Times New Roman" w:hAnsi="Times New Roman" w:cs="Times New Roman"/>
                <w:sz w:val="24"/>
                <w:szCs w:val="24"/>
              </w:rPr>
              <w:t>810 mL/min (Hypertensive adults)</w:t>
            </w:r>
          </w:p>
        </w:tc>
        <w:tc>
          <w:tcPr>
            <w:tcW w:w="933" w:type="dxa"/>
          </w:tcPr>
          <w:p w:rsidR="00A97D0D" w:rsidRPr="00490E09" w:rsidRDefault="00A97D0D" w:rsidP="00D70DDC">
            <w:pPr>
              <w:rPr>
                <w:rFonts w:ascii="Times New Roman" w:hAnsi="Times New Roman" w:cs="Times New Roman"/>
                <w:sz w:val="24"/>
                <w:szCs w:val="24"/>
              </w:rPr>
            </w:pPr>
            <w:r w:rsidRPr="00490E09">
              <w:rPr>
                <w:rFonts w:ascii="Times New Roman" w:hAnsi="Times New Roman" w:cs="Times New Roman"/>
                <w:sz w:val="24"/>
                <w:szCs w:val="24"/>
              </w:rPr>
              <w:t>3-6 hr</w:t>
            </w:r>
          </w:p>
        </w:tc>
        <w:tc>
          <w:tcPr>
            <w:tcW w:w="1460" w:type="dxa"/>
          </w:tcPr>
          <w:p w:rsidR="00A97D0D" w:rsidRPr="00490E09" w:rsidRDefault="00A97D0D" w:rsidP="00D70DDC">
            <w:pPr>
              <w:rPr>
                <w:rFonts w:ascii="Times New Roman" w:hAnsi="Times New Roman" w:cs="Times New Roman"/>
                <w:sz w:val="24"/>
                <w:szCs w:val="24"/>
              </w:rPr>
            </w:pPr>
            <w:r w:rsidRPr="00490E09">
              <w:rPr>
                <w:rFonts w:ascii="Times New Roman" w:hAnsi="Times New Roman" w:cs="Times New Roman"/>
                <w:sz w:val="24"/>
                <w:szCs w:val="24"/>
              </w:rPr>
              <w:t>CYP2D6 (SINH)</w:t>
            </w:r>
          </w:p>
        </w:tc>
        <w:tc>
          <w:tcPr>
            <w:tcW w:w="882" w:type="dxa"/>
          </w:tcPr>
          <w:p w:rsidR="00A97D0D" w:rsidRPr="00490E09" w:rsidRDefault="00A97D0D" w:rsidP="00D70DDC">
            <w:pPr>
              <w:rPr>
                <w:rFonts w:ascii="Times New Roman" w:hAnsi="Times New Roman" w:cs="Times New Roman"/>
                <w:sz w:val="24"/>
                <w:szCs w:val="24"/>
              </w:rPr>
            </w:pPr>
            <w:r w:rsidRPr="00490E09">
              <w:rPr>
                <w:rFonts w:ascii="Times New Roman" w:hAnsi="Times New Roman" w:cs="Times New Roman"/>
                <w:sz w:val="24"/>
                <w:szCs w:val="24"/>
              </w:rPr>
              <w:t>Not found</w:t>
            </w:r>
          </w:p>
        </w:tc>
      </w:tr>
      <w:tr w:rsidR="00A97D0D" w:rsidRPr="00490E09" w:rsidTr="00834DDA">
        <w:trPr>
          <w:trHeight w:val="260"/>
        </w:trPr>
        <w:tc>
          <w:tcPr>
            <w:tcW w:w="1012" w:type="dxa"/>
            <w:vMerge/>
          </w:tcPr>
          <w:p w:rsidR="00A97D0D" w:rsidRPr="00490E09" w:rsidRDefault="00A97D0D" w:rsidP="00D70DDC">
            <w:pPr>
              <w:tabs>
                <w:tab w:val="left" w:pos="625"/>
              </w:tabs>
              <w:rPr>
                <w:rFonts w:ascii="Times New Roman" w:hAnsi="Times New Roman" w:cs="Times New Roman"/>
                <w:sz w:val="24"/>
                <w:szCs w:val="24"/>
              </w:rPr>
            </w:pPr>
          </w:p>
        </w:tc>
        <w:tc>
          <w:tcPr>
            <w:tcW w:w="2498" w:type="dxa"/>
          </w:tcPr>
          <w:p w:rsidR="00A97D0D" w:rsidRPr="00490E09" w:rsidRDefault="00A97D0D" w:rsidP="00516AC8">
            <w:pPr>
              <w:rPr>
                <w:rFonts w:ascii="Times New Roman" w:hAnsi="Times New Roman" w:cs="Times New Roman"/>
                <w:sz w:val="24"/>
                <w:szCs w:val="24"/>
              </w:rPr>
            </w:pPr>
            <w:r w:rsidRPr="00490E09">
              <w:rPr>
                <w:rFonts w:ascii="Times New Roman" w:hAnsi="Times New Roman" w:cs="Times New Roman"/>
                <w:b/>
                <w:sz w:val="24"/>
                <w:szCs w:val="24"/>
              </w:rPr>
              <w:t>Metoprolol</w:t>
            </w:r>
            <w:r w:rsidR="00227D05" w:rsidRPr="00490E09">
              <w:rPr>
                <w:rFonts w:ascii="Times New Roman" w:hAnsi="Times New Roman" w:cs="Times New Roman"/>
                <w:b/>
                <w:sz w:val="24"/>
                <w:szCs w:val="24"/>
              </w:rPr>
              <w:fldChar w:fldCharType="begin" w:fldLock="1"/>
            </w:r>
            <w:r w:rsidR="00516AC8">
              <w:rPr>
                <w:rFonts w:ascii="Times New Roman" w:hAnsi="Times New Roman" w:cs="Times New Roman"/>
                <w:b/>
                <w:sz w:val="24"/>
                <w:szCs w:val="24"/>
              </w:rPr>
              <w:instrText>ADDIN CSL_CITATION {"citationItems":[{"id":"ITEM-1","itemData":{"abstract":"Morris J, Dunham A. Metoprolol. InStatPearls [Internet] 2018 Dec 17. StatPearls Publishing.","author":[{"dropping-particle":"","family":"Morris J","given":"Dunham A","non-dropping-particle":"","parse-names":false,"suffix":""}],"container-title":"InStatPearls [Internet]","id":"ITEM-1","issued":{"date-parts":[["2018"]]},"title":"Metoprolol","type":"article-journal","volume":"StatPearls"},"uris":["http://www.mendeley.com/documents/?uuid=33b98479-5301-4f33-b7a6-c5d48f582f26","http://www.mendeley.com/documents/?uuid=60c80930-72d5-4d38-a4bf-06ece675dcf6"]}],"mendeley":{"formattedCitation":"&lt;sup&gt;17&lt;/sup&gt;","plainTextFormattedCitation":"17","previouslyFormattedCitation":"(17)"},"properties":{"noteIndex":0},"schema":"https://github.com/citation-style-language/schema/raw/master/csl-citation.json"}</w:instrText>
            </w:r>
            <w:r w:rsidR="00227D05" w:rsidRPr="00490E09">
              <w:rPr>
                <w:rFonts w:ascii="Times New Roman" w:hAnsi="Times New Roman" w:cs="Times New Roman"/>
                <w:b/>
                <w:sz w:val="24"/>
                <w:szCs w:val="24"/>
              </w:rPr>
              <w:fldChar w:fldCharType="separate"/>
            </w:r>
            <w:r w:rsidR="00516AC8" w:rsidRPr="00516AC8">
              <w:rPr>
                <w:rFonts w:ascii="Times New Roman" w:hAnsi="Times New Roman" w:cs="Times New Roman"/>
                <w:noProof/>
                <w:sz w:val="24"/>
                <w:szCs w:val="24"/>
                <w:vertAlign w:val="superscript"/>
              </w:rPr>
              <w:t>17</w:t>
            </w:r>
            <w:r w:rsidR="00227D05" w:rsidRPr="00490E09">
              <w:rPr>
                <w:rFonts w:ascii="Times New Roman" w:hAnsi="Times New Roman" w:cs="Times New Roman"/>
                <w:b/>
                <w:sz w:val="24"/>
                <w:szCs w:val="24"/>
              </w:rPr>
              <w:fldChar w:fldCharType="end"/>
            </w:r>
            <w:r w:rsidR="00245191">
              <w:rPr>
                <w:rFonts w:ascii="Times New Roman" w:hAnsi="Times New Roman" w:cs="Times New Roman"/>
                <w:sz w:val="24"/>
                <w:szCs w:val="24"/>
                <w:vertAlign w:val="superscript"/>
              </w:rPr>
              <w:t>,</w:t>
            </w:r>
            <w:r w:rsidR="00227D05" w:rsidRPr="00490E09">
              <w:rPr>
                <w:rFonts w:ascii="Times New Roman" w:hAnsi="Times New Roman" w:cs="Times New Roman"/>
                <w:b/>
                <w:sz w:val="24"/>
                <w:szCs w:val="24"/>
              </w:rPr>
              <w:fldChar w:fldCharType="begin" w:fldLock="1"/>
            </w:r>
            <w:r w:rsidR="00516AC8">
              <w:rPr>
                <w:rFonts w:ascii="Times New Roman" w:hAnsi="Times New Roman" w:cs="Times New Roman"/>
                <w:b/>
                <w:sz w:val="24"/>
                <w:szCs w:val="24"/>
              </w:rPr>
              <w:instrText>ADDIN CSL_CITATION {"citationItems":[{"id":"ITEM-1","itemData":{"DOI":"10.1111/bcp.13741","ISSN":"13652125","PMID":"30248178","abstract":"Aim: Metoprolol (a CYP2D6 substrate) is often co-prescribed with paroxetine/fluoxetine (a CYP2D6 inhibitor) because the clinical relevance of this drug–drug interaction (DDI) is still unclear. This review aimed to systematically evaluate the available evidence and quantify the clinical impact of the DDI. Method: Pubmed, Web of Science, Cochrane Library and Embase were searched for studies reporting on the effect of the DDI among adults published until April 2018. Data on pharmacokinetics, pharmacodynamics and clinical outcomes from experimental, observational and case report studies were retrieved. The protocol of this study was registered in PROSPERO (CRD42018093087). Results: We found nine eligible articles that consisted of four experimental and two observational studies as well as three case reports. Experimental studies reported that paroxetine increased the AUC of metoprolol three to five times, and significantly decreased systolic blood pressure and heart rate of patients. Case reports concerned bradycardia and atrioventricular block due to the DDI. Results from observational studies were conflicting. A cohort study indicated that the DDI was significantly associated with the incidence of early discontinuation of metoprolol as an indicator of the emergence of metoprolol-related side effects. In a case–control study, the DDI was not significantly associated with bradycardia. Conclusion: Despite the contradictory conclusions from the current literature, the majority of studies suggest that the DDI can lead to adverse clinical consequences. Since alternative antidepressants and beta-blockers with comparable efficacy are available, such DDIs can be avoided. Nonetheless, if prescribing the combination is unavoidable, a dose adjustment or close monitoring of the metoprolol-related side effects is necessary.","author":[{"dropping-particle":"","family":"Bahar","given":"Muh Akbar","non-dropping-particle":"","parse-names":false,"suffix":""},{"dropping-particle":"","family":"Kamp","given":"Jasper","non-dropping-particle":"","parse-names":false,"suffix":""},{"dropping-particle":"","family":"Borgsteede","given":"Sander D.","non-dropping-particle":"","parse-names":false,"suffix":""},{"dropping-particle":"","family":"Hak","given":"Eelko","non-dropping-particle":"","parse-names":false,"suffix":""},{"dropping-particle":"","family":"Wilffert","given":"Bob","non-dropping-particle":"","parse-names":false,"suffix":""}],"container-title":"British Journal of Clinical Pharmacology","id":"ITEM-1","issue":"12","issued":{"date-parts":[["2018"]]},"page":"2704-2715","title":"The impact of CYP2D6 mediated drug–drug interaction: a systematic review on a combination of metoprolol and paroxetine/fluoxetine","type":"article-journal","volume":"84"},"uris":["http://www.mendeley.com/documents/?uuid=83e634fe-0dfa-4d24-ab0e-4d7d17a0ba55","http://www.mendeley.com/documents/?uuid=c2d5b394-54bb-4702-b3c1-df9b367b0fe4"]}],"mendeley":{"formattedCitation":"&lt;sup&gt;18&lt;/sup&gt;","plainTextFormattedCitation":"18","previouslyFormattedCitation":"(18)"},"properties":{"noteIndex":0},"schema":"https://github.com/citation-style-language/schema/raw/master/csl-citation.json"}</w:instrText>
            </w:r>
            <w:r w:rsidR="00227D05" w:rsidRPr="00490E09">
              <w:rPr>
                <w:rFonts w:ascii="Times New Roman" w:hAnsi="Times New Roman" w:cs="Times New Roman"/>
                <w:b/>
                <w:sz w:val="24"/>
                <w:szCs w:val="24"/>
              </w:rPr>
              <w:fldChar w:fldCharType="separate"/>
            </w:r>
            <w:r w:rsidR="00516AC8" w:rsidRPr="00516AC8">
              <w:rPr>
                <w:rFonts w:ascii="Times New Roman" w:hAnsi="Times New Roman" w:cs="Times New Roman"/>
                <w:noProof/>
                <w:sz w:val="24"/>
                <w:szCs w:val="24"/>
                <w:vertAlign w:val="superscript"/>
              </w:rPr>
              <w:t>18</w:t>
            </w:r>
            <w:r w:rsidR="00227D05" w:rsidRPr="00490E09">
              <w:rPr>
                <w:rFonts w:ascii="Times New Roman" w:hAnsi="Times New Roman" w:cs="Times New Roman"/>
                <w:b/>
                <w:sz w:val="24"/>
                <w:szCs w:val="24"/>
              </w:rPr>
              <w:fldChar w:fldCharType="end"/>
            </w:r>
            <w:r w:rsidRPr="00490E09">
              <w:rPr>
                <w:rFonts w:ascii="Times New Roman" w:hAnsi="Times New Roman" w:cs="Times New Roman"/>
                <w:b/>
                <w:sz w:val="24"/>
                <w:szCs w:val="24"/>
              </w:rPr>
              <w:t>:</w:t>
            </w:r>
            <w:r w:rsidRPr="00490E09">
              <w:rPr>
                <w:rFonts w:ascii="Times New Roman" w:hAnsi="Times New Roman" w:cs="Times New Roman"/>
                <w:sz w:val="24"/>
                <w:szCs w:val="24"/>
              </w:rPr>
              <w:t xml:space="preserve"> (50 mg, 100mg tablets for oral administartion)</w:t>
            </w:r>
          </w:p>
        </w:tc>
        <w:tc>
          <w:tcPr>
            <w:tcW w:w="1560" w:type="dxa"/>
          </w:tcPr>
          <w:p w:rsidR="00A97D0D" w:rsidRPr="00490E09" w:rsidRDefault="00A97D0D" w:rsidP="00D70DDC">
            <w:pPr>
              <w:rPr>
                <w:rFonts w:ascii="Times New Roman" w:hAnsi="Times New Roman" w:cs="Times New Roman"/>
                <w:sz w:val="24"/>
                <w:szCs w:val="24"/>
              </w:rPr>
            </w:pPr>
            <w:r w:rsidRPr="00490E09">
              <w:rPr>
                <w:rFonts w:ascii="Times New Roman" w:hAnsi="Times New Roman" w:cs="Times New Roman"/>
                <w:sz w:val="24"/>
                <w:szCs w:val="24"/>
              </w:rPr>
              <w:t>50</w:t>
            </w:r>
          </w:p>
        </w:tc>
        <w:tc>
          <w:tcPr>
            <w:tcW w:w="992" w:type="dxa"/>
          </w:tcPr>
          <w:p w:rsidR="00A97D0D" w:rsidRPr="00490E09" w:rsidRDefault="00A97D0D" w:rsidP="00D70DDC">
            <w:pPr>
              <w:rPr>
                <w:rFonts w:ascii="Times New Roman" w:hAnsi="Times New Roman" w:cs="Times New Roman"/>
                <w:sz w:val="24"/>
                <w:szCs w:val="24"/>
              </w:rPr>
            </w:pPr>
            <w:r w:rsidRPr="00490E09">
              <w:rPr>
                <w:rFonts w:ascii="Times New Roman" w:hAnsi="Times New Roman" w:cs="Times New Roman"/>
                <w:sz w:val="24"/>
                <w:szCs w:val="24"/>
              </w:rPr>
              <w:t>11</w:t>
            </w:r>
          </w:p>
        </w:tc>
        <w:tc>
          <w:tcPr>
            <w:tcW w:w="1559" w:type="dxa"/>
          </w:tcPr>
          <w:p w:rsidR="00A97D0D" w:rsidRPr="00490E09" w:rsidRDefault="00A97D0D" w:rsidP="00D70DDC">
            <w:pPr>
              <w:rPr>
                <w:rFonts w:ascii="Times New Roman" w:hAnsi="Times New Roman" w:cs="Times New Roman"/>
                <w:sz w:val="24"/>
                <w:szCs w:val="24"/>
              </w:rPr>
            </w:pPr>
            <w:r w:rsidRPr="00490E09">
              <w:rPr>
                <w:rFonts w:ascii="Times New Roman" w:hAnsi="Times New Roman" w:cs="Times New Roman"/>
                <w:sz w:val="24"/>
                <w:szCs w:val="24"/>
              </w:rPr>
              <w:t>Not found</w:t>
            </w:r>
          </w:p>
        </w:tc>
        <w:tc>
          <w:tcPr>
            <w:tcW w:w="2181" w:type="dxa"/>
          </w:tcPr>
          <w:p w:rsidR="00A97D0D" w:rsidRPr="00490E09" w:rsidRDefault="00A97D0D" w:rsidP="00D70DDC">
            <w:pPr>
              <w:rPr>
                <w:rFonts w:ascii="Times New Roman" w:hAnsi="Times New Roman" w:cs="Times New Roman"/>
                <w:sz w:val="24"/>
                <w:szCs w:val="24"/>
              </w:rPr>
            </w:pPr>
            <w:r w:rsidRPr="00490E09">
              <w:rPr>
                <w:rFonts w:ascii="Times New Roman" w:hAnsi="Times New Roman" w:cs="Times New Roman"/>
                <w:sz w:val="24"/>
                <w:szCs w:val="24"/>
              </w:rPr>
              <w:t>NA</w:t>
            </w:r>
          </w:p>
        </w:tc>
        <w:tc>
          <w:tcPr>
            <w:tcW w:w="1097" w:type="dxa"/>
          </w:tcPr>
          <w:p w:rsidR="00A97D0D" w:rsidRPr="00490E09" w:rsidRDefault="00A97D0D" w:rsidP="00D70DDC">
            <w:pPr>
              <w:rPr>
                <w:rFonts w:ascii="Times New Roman" w:hAnsi="Times New Roman" w:cs="Times New Roman"/>
                <w:sz w:val="24"/>
                <w:szCs w:val="24"/>
              </w:rPr>
            </w:pPr>
            <w:r w:rsidRPr="00490E09">
              <w:rPr>
                <w:rFonts w:ascii="Times New Roman" w:hAnsi="Times New Roman" w:cs="Times New Roman"/>
                <w:color w:val="192027"/>
                <w:sz w:val="24"/>
                <w:szCs w:val="24"/>
                <w:shd w:val="clear" w:color="auto" w:fill="FFFFFF"/>
              </w:rPr>
              <w:t>0.8 L/min</w:t>
            </w:r>
          </w:p>
        </w:tc>
        <w:tc>
          <w:tcPr>
            <w:tcW w:w="933" w:type="dxa"/>
          </w:tcPr>
          <w:p w:rsidR="00A97D0D" w:rsidRPr="00490E09" w:rsidRDefault="00A97D0D" w:rsidP="00D70DDC">
            <w:pPr>
              <w:rPr>
                <w:rFonts w:ascii="Times New Roman" w:hAnsi="Times New Roman" w:cs="Times New Roman"/>
                <w:sz w:val="24"/>
                <w:szCs w:val="24"/>
              </w:rPr>
            </w:pPr>
            <w:r w:rsidRPr="00490E09">
              <w:rPr>
                <w:rFonts w:ascii="Times New Roman" w:hAnsi="Times New Roman" w:cs="Times New Roman"/>
                <w:sz w:val="24"/>
                <w:szCs w:val="24"/>
              </w:rPr>
              <w:t>3-7 hr</w:t>
            </w:r>
          </w:p>
        </w:tc>
        <w:tc>
          <w:tcPr>
            <w:tcW w:w="1460" w:type="dxa"/>
          </w:tcPr>
          <w:p w:rsidR="00A97D0D" w:rsidRPr="00490E09" w:rsidRDefault="00A97D0D" w:rsidP="00D70DDC">
            <w:pPr>
              <w:rPr>
                <w:rFonts w:ascii="Times New Roman" w:hAnsi="Times New Roman" w:cs="Times New Roman"/>
                <w:sz w:val="24"/>
                <w:szCs w:val="24"/>
              </w:rPr>
            </w:pPr>
            <w:r w:rsidRPr="00490E09">
              <w:rPr>
                <w:rFonts w:ascii="Times New Roman" w:hAnsi="Times New Roman" w:cs="Times New Roman"/>
                <w:sz w:val="24"/>
                <w:szCs w:val="24"/>
              </w:rPr>
              <w:t>CYP2D6 (SINH)</w:t>
            </w:r>
          </w:p>
        </w:tc>
        <w:tc>
          <w:tcPr>
            <w:tcW w:w="882" w:type="dxa"/>
          </w:tcPr>
          <w:p w:rsidR="00A97D0D" w:rsidRPr="00490E09" w:rsidRDefault="00A97D0D" w:rsidP="00D70DDC">
            <w:pPr>
              <w:rPr>
                <w:rFonts w:ascii="Times New Roman" w:hAnsi="Times New Roman" w:cs="Times New Roman"/>
                <w:sz w:val="24"/>
                <w:szCs w:val="24"/>
              </w:rPr>
            </w:pPr>
            <w:r w:rsidRPr="00490E09">
              <w:rPr>
                <w:rFonts w:ascii="Times New Roman" w:hAnsi="Times New Roman" w:cs="Times New Roman"/>
                <w:sz w:val="24"/>
                <w:szCs w:val="24"/>
              </w:rPr>
              <w:t>Not found</w:t>
            </w:r>
          </w:p>
        </w:tc>
      </w:tr>
      <w:tr w:rsidR="00A97D0D" w:rsidRPr="00490E09" w:rsidTr="00834DDA">
        <w:trPr>
          <w:trHeight w:val="260"/>
        </w:trPr>
        <w:tc>
          <w:tcPr>
            <w:tcW w:w="1012" w:type="dxa"/>
            <w:vMerge/>
          </w:tcPr>
          <w:p w:rsidR="00A97D0D" w:rsidRPr="00490E09" w:rsidRDefault="00A97D0D" w:rsidP="00D70DDC">
            <w:pPr>
              <w:tabs>
                <w:tab w:val="left" w:pos="625"/>
              </w:tabs>
              <w:rPr>
                <w:rFonts w:ascii="Times New Roman" w:hAnsi="Times New Roman" w:cs="Times New Roman"/>
                <w:sz w:val="24"/>
                <w:szCs w:val="24"/>
              </w:rPr>
            </w:pPr>
          </w:p>
        </w:tc>
        <w:tc>
          <w:tcPr>
            <w:tcW w:w="2498" w:type="dxa"/>
          </w:tcPr>
          <w:p w:rsidR="00A97D0D" w:rsidRPr="00490E09" w:rsidRDefault="00A97D0D" w:rsidP="00516AC8">
            <w:pPr>
              <w:rPr>
                <w:rFonts w:ascii="Times New Roman" w:hAnsi="Times New Roman" w:cs="Times New Roman"/>
                <w:sz w:val="24"/>
                <w:szCs w:val="24"/>
              </w:rPr>
            </w:pPr>
            <w:r w:rsidRPr="00490E09">
              <w:rPr>
                <w:rFonts w:ascii="Times New Roman" w:hAnsi="Times New Roman" w:cs="Times New Roman"/>
                <w:b/>
                <w:sz w:val="24"/>
                <w:szCs w:val="24"/>
              </w:rPr>
              <w:t>Telmisartan</w:t>
            </w:r>
            <w:r w:rsidR="00227D05" w:rsidRPr="00490E09">
              <w:rPr>
                <w:rFonts w:ascii="Times New Roman" w:hAnsi="Times New Roman" w:cs="Times New Roman"/>
                <w:b/>
                <w:sz w:val="24"/>
                <w:szCs w:val="24"/>
              </w:rPr>
              <w:fldChar w:fldCharType="begin" w:fldLock="1"/>
            </w:r>
            <w:r w:rsidR="00516AC8">
              <w:rPr>
                <w:rFonts w:ascii="Times New Roman" w:hAnsi="Times New Roman" w:cs="Times New Roman"/>
                <w:b/>
                <w:sz w:val="24"/>
                <w:szCs w:val="24"/>
              </w:rPr>
              <w:instrText>ADDIN CSL_CITATION {"citationItems":[{"id":"ITEM-1","itemData":{"URL":"https://www.accessdata.fda.gov/drugsatfda_docs/label/2011/020850s032lbl.pdf","author":[{"dropping-particle":"","family":"Accessdata.fda","given":"","non-dropping-particle":"","parse-names":false,"suffix":""}],"id":"ITEM-1","issued":{"date-parts":[["0"]]},"title":"MICARDIS® (telmisartan) Tablets","type":"webpage"},"uris":["http://www.mendeley.com/documents/?uuid=111b72d0-d0a8-4dfa-b86d-7e2a65540053","http://www.mendeley.com/documents/?uuid=72497fcb-bf30-4e28-a2af-e2e361742cae"]}],"mendeley":{"formattedCitation":"&lt;sup&gt;19&lt;/sup&gt;","plainTextFormattedCitation":"19","previouslyFormattedCitation":"(19)"},"properties":{"noteIndex":0},"schema":"https://github.com/citation-style-language/schema/raw/master/csl-citation.json"}</w:instrText>
            </w:r>
            <w:r w:rsidR="00227D05" w:rsidRPr="00490E09">
              <w:rPr>
                <w:rFonts w:ascii="Times New Roman" w:hAnsi="Times New Roman" w:cs="Times New Roman"/>
                <w:b/>
                <w:sz w:val="24"/>
                <w:szCs w:val="24"/>
              </w:rPr>
              <w:fldChar w:fldCharType="separate"/>
            </w:r>
            <w:r w:rsidR="00516AC8" w:rsidRPr="00516AC8">
              <w:rPr>
                <w:rFonts w:ascii="Times New Roman" w:hAnsi="Times New Roman" w:cs="Times New Roman"/>
                <w:noProof/>
                <w:sz w:val="24"/>
                <w:szCs w:val="24"/>
                <w:vertAlign w:val="superscript"/>
              </w:rPr>
              <w:t>19</w:t>
            </w:r>
            <w:r w:rsidR="00227D05" w:rsidRPr="00490E09">
              <w:rPr>
                <w:rFonts w:ascii="Times New Roman" w:hAnsi="Times New Roman" w:cs="Times New Roman"/>
                <w:b/>
                <w:sz w:val="24"/>
                <w:szCs w:val="24"/>
              </w:rPr>
              <w:fldChar w:fldCharType="end"/>
            </w:r>
            <w:r w:rsidR="00245191">
              <w:rPr>
                <w:rFonts w:ascii="Times New Roman" w:hAnsi="Times New Roman" w:cs="Times New Roman"/>
                <w:sz w:val="24"/>
                <w:szCs w:val="24"/>
                <w:vertAlign w:val="superscript"/>
              </w:rPr>
              <w:t>,</w:t>
            </w:r>
            <w:r w:rsidR="00227D05" w:rsidRPr="00490E09">
              <w:rPr>
                <w:rFonts w:ascii="Times New Roman" w:hAnsi="Times New Roman" w:cs="Times New Roman"/>
                <w:b/>
                <w:sz w:val="24"/>
                <w:szCs w:val="24"/>
              </w:rPr>
              <w:fldChar w:fldCharType="begin" w:fldLock="1"/>
            </w:r>
            <w:r w:rsidR="00516AC8">
              <w:rPr>
                <w:rFonts w:ascii="Times New Roman" w:hAnsi="Times New Roman" w:cs="Times New Roman"/>
                <w:b/>
                <w:sz w:val="24"/>
                <w:szCs w:val="24"/>
              </w:rPr>
              <w:instrText>ADDIN CSL_CITATION {"citationItems":[{"id":"ITEM-1","itemData":{"DOI":"10.1177/147323000002800401","ISSN":"03000605","abstract":"A series of studies was conducted in healthy young males and healthy elderly males or females to evaluate the pharmacokinetic profile of telmisartan. In addition, two phase-II clinical trials assessed the pharmacokinetics and the safety of telmisartan in mild-to-moderate hypertensive patients. Telmisartan was given as a single oral (1 - 160 mg) or intravenous (10 - 160 mg) dose to young males. In another multiple-dose study, telmisartan 320 mg was administered orally once daily for 7 days to healthy young male subjects. Elderly subjects received oral telmisartan (20 and 120 mg) once daily for 7 days. Telmisartan doses of 10, 20, 40, 80, 120 and 160 mg were taken once daily by mild- to-moderate hypertensive patients for 7 days. Additionally, oral telmisartan (40, 80 or 120 mg) was administered once daily for 28 days to hypertensive subjects. Following oral dosing, median time to maximum plasma telmisartan concentration was 0.5 - 2 h, with maximum plasma concentrations increasing disproportionately with dose. By contrast, plasma concentrations were directly related to the intravenous dose. Steady state was observed after 5 - 7 days of once-daily administration, and there was no clinically relevant accumulation at 28 days. The plasma concentration-time profiles were similar in all study groups and were characterized by fast absorption and a rapid biexponential decline after the peak plasma concentration, with a prolonged terminal elimination phase (&gt; 20 h in healthy and hypertensive subjects). Telmisartan was well tolerated, with a low incidence of drug-related adverse events. The most frequent event was headache, which also occurred in placebo-treated control subjects. No changes in heart rate, electrocardiograms or clinical chemistry were detected following receipt of telmisartan. The study thus shows that high systemic levels of telmisartan, which are well tolerated, can be attained in healthy adults of any age and in hypertensive subjects. The long terminal elimination half-life makes telmisartan suitable for once-daily dosing and contributes to the sustained efficacy over the full 24-h dosing interval.","author":[{"dropping-particle":"","family":"Stangier","given":"J.","non-dropping-particle":"","parse-names":false,"suffix":""},{"dropping-particle":"","family":"Su","given":"C. A.P.F.","non-dropping-particle":"","parse-names":false,"suffix":""},{"dropping-particle":"","family":"Roth","given":"W.","non-dropping-particle":"","parse-names":false,"suffix":""}],"container-title":"Journal of International Medical Research","id":"ITEM-1","issue":"4","issued":{"date-parts":[["2000"]]},"page":"149-167","title":"Pharmacokinetics of orally and intravenously administered telmisartan in healthy young and elderly volunteers and in hypertensive patients","type":"article-journal","volume":"28"},"uris":["http://www.mendeley.com/documents/?uuid=1d307184-c2ab-4722-ae54-6b2d39e268b1","http://www.mendeley.com/documents/?uuid=28dce09f-c46c-4d5f-90cf-861ac67b19f2"]}],"mendeley":{"formattedCitation":"&lt;sup&gt;20&lt;/sup&gt;","plainTextFormattedCitation":"20","previouslyFormattedCitation":"(20)"},"properties":{"noteIndex":0},"schema":"https://github.com/citation-style-language/schema/raw/master/csl-citation.json"}</w:instrText>
            </w:r>
            <w:r w:rsidR="00227D05" w:rsidRPr="00490E09">
              <w:rPr>
                <w:rFonts w:ascii="Times New Roman" w:hAnsi="Times New Roman" w:cs="Times New Roman"/>
                <w:b/>
                <w:sz w:val="24"/>
                <w:szCs w:val="24"/>
              </w:rPr>
              <w:fldChar w:fldCharType="separate"/>
            </w:r>
            <w:r w:rsidR="00516AC8" w:rsidRPr="00516AC8">
              <w:rPr>
                <w:rFonts w:ascii="Times New Roman" w:hAnsi="Times New Roman" w:cs="Times New Roman"/>
                <w:noProof/>
                <w:sz w:val="24"/>
                <w:szCs w:val="24"/>
                <w:vertAlign w:val="superscript"/>
              </w:rPr>
              <w:t>20</w:t>
            </w:r>
            <w:r w:rsidR="00227D05" w:rsidRPr="00490E09">
              <w:rPr>
                <w:rFonts w:ascii="Times New Roman" w:hAnsi="Times New Roman" w:cs="Times New Roman"/>
                <w:b/>
                <w:sz w:val="24"/>
                <w:szCs w:val="24"/>
              </w:rPr>
              <w:fldChar w:fldCharType="end"/>
            </w:r>
            <w:r w:rsidRPr="00490E09">
              <w:rPr>
                <w:rFonts w:ascii="Times New Roman" w:hAnsi="Times New Roman" w:cs="Times New Roman"/>
                <w:b/>
                <w:sz w:val="24"/>
                <w:szCs w:val="24"/>
              </w:rPr>
              <w:t>:</w:t>
            </w:r>
            <w:r w:rsidRPr="00490E09">
              <w:rPr>
                <w:rFonts w:ascii="Times New Roman" w:hAnsi="Times New Roman" w:cs="Times New Roman"/>
                <w:sz w:val="24"/>
                <w:szCs w:val="24"/>
              </w:rPr>
              <w:t xml:space="preserve"> (20mg,40mg and 80mg tablets for oral administration)</w:t>
            </w:r>
          </w:p>
        </w:tc>
        <w:tc>
          <w:tcPr>
            <w:tcW w:w="1560" w:type="dxa"/>
          </w:tcPr>
          <w:p w:rsidR="00A97D0D" w:rsidRPr="00490E09" w:rsidRDefault="00A97D0D" w:rsidP="00D70DDC">
            <w:pPr>
              <w:rPr>
                <w:rFonts w:ascii="Times New Roman" w:hAnsi="Times New Roman" w:cs="Times New Roman"/>
                <w:sz w:val="24"/>
                <w:szCs w:val="24"/>
              </w:rPr>
            </w:pPr>
            <w:r w:rsidRPr="00490E09">
              <w:rPr>
                <w:rFonts w:ascii="Times New Roman" w:hAnsi="Times New Roman" w:cs="Times New Roman"/>
                <w:sz w:val="24"/>
                <w:szCs w:val="24"/>
              </w:rPr>
              <w:t>Dose dependent (e.g. for 40 mg dose bioavailability = 42%)</w:t>
            </w:r>
          </w:p>
        </w:tc>
        <w:tc>
          <w:tcPr>
            <w:tcW w:w="992" w:type="dxa"/>
          </w:tcPr>
          <w:p w:rsidR="00A97D0D" w:rsidRPr="00490E09" w:rsidRDefault="00A97D0D" w:rsidP="00D70DDC">
            <w:pPr>
              <w:rPr>
                <w:rFonts w:ascii="Times New Roman" w:hAnsi="Times New Roman" w:cs="Times New Roman"/>
                <w:sz w:val="24"/>
                <w:szCs w:val="24"/>
              </w:rPr>
            </w:pPr>
            <w:r w:rsidRPr="00490E09">
              <w:rPr>
                <w:rFonts w:ascii="Times New Roman" w:hAnsi="Times New Roman" w:cs="Times New Roman"/>
                <w:sz w:val="24"/>
                <w:szCs w:val="24"/>
              </w:rPr>
              <w:t>99.5</w:t>
            </w:r>
          </w:p>
        </w:tc>
        <w:tc>
          <w:tcPr>
            <w:tcW w:w="1559" w:type="dxa"/>
          </w:tcPr>
          <w:p w:rsidR="00A97D0D" w:rsidRPr="00490E09" w:rsidRDefault="00A97D0D" w:rsidP="00D70DDC">
            <w:pPr>
              <w:rPr>
                <w:rFonts w:ascii="Times New Roman" w:hAnsi="Times New Roman" w:cs="Times New Roman"/>
                <w:sz w:val="24"/>
                <w:szCs w:val="24"/>
              </w:rPr>
            </w:pPr>
            <w:r w:rsidRPr="00490E09">
              <w:rPr>
                <w:rFonts w:ascii="Times New Roman" w:hAnsi="Times New Roman" w:cs="Times New Roman"/>
                <w:sz w:val="24"/>
                <w:szCs w:val="24"/>
              </w:rPr>
              <w:t>17.9 ng/mL after single dose of 20mg</w:t>
            </w:r>
          </w:p>
        </w:tc>
        <w:tc>
          <w:tcPr>
            <w:tcW w:w="2181" w:type="dxa"/>
          </w:tcPr>
          <w:p w:rsidR="00A97D0D" w:rsidRPr="00490E09" w:rsidRDefault="00A97D0D" w:rsidP="00D70DDC">
            <w:pPr>
              <w:rPr>
                <w:rFonts w:ascii="Times New Roman" w:hAnsi="Times New Roman" w:cs="Times New Roman"/>
                <w:sz w:val="24"/>
                <w:szCs w:val="24"/>
              </w:rPr>
            </w:pPr>
            <w:r w:rsidRPr="00490E09">
              <w:rPr>
                <w:rFonts w:ascii="Times New Roman" w:hAnsi="Times New Roman" w:cs="Times New Roman"/>
                <w:sz w:val="24"/>
                <w:szCs w:val="24"/>
              </w:rPr>
              <w:t>NA</w:t>
            </w:r>
          </w:p>
        </w:tc>
        <w:tc>
          <w:tcPr>
            <w:tcW w:w="1097" w:type="dxa"/>
          </w:tcPr>
          <w:p w:rsidR="00A97D0D" w:rsidRPr="00490E09" w:rsidRDefault="00A97D0D" w:rsidP="00D70DDC">
            <w:pPr>
              <w:rPr>
                <w:rFonts w:ascii="Times New Roman" w:hAnsi="Times New Roman" w:cs="Times New Roman"/>
                <w:sz w:val="24"/>
                <w:szCs w:val="24"/>
              </w:rPr>
            </w:pPr>
            <w:r w:rsidRPr="00490E09">
              <w:rPr>
                <w:rFonts w:ascii="Times New Roman" w:hAnsi="Times New Roman" w:cs="Times New Roman"/>
                <w:sz w:val="24"/>
                <w:szCs w:val="24"/>
              </w:rPr>
              <w:t>&gt;800 mL/min</w:t>
            </w:r>
          </w:p>
        </w:tc>
        <w:tc>
          <w:tcPr>
            <w:tcW w:w="933" w:type="dxa"/>
          </w:tcPr>
          <w:p w:rsidR="00A97D0D" w:rsidRPr="00490E09" w:rsidRDefault="00A97D0D" w:rsidP="00D70DDC">
            <w:pPr>
              <w:rPr>
                <w:rFonts w:ascii="Times New Roman" w:hAnsi="Times New Roman" w:cs="Times New Roman"/>
                <w:sz w:val="24"/>
                <w:szCs w:val="24"/>
              </w:rPr>
            </w:pPr>
            <w:r w:rsidRPr="00490E09">
              <w:rPr>
                <w:rFonts w:ascii="Times New Roman" w:hAnsi="Times New Roman" w:cs="Times New Roman"/>
                <w:sz w:val="24"/>
                <w:szCs w:val="24"/>
              </w:rPr>
              <w:t>24 hr</w:t>
            </w:r>
          </w:p>
        </w:tc>
        <w:tc>
          <w:tcPr>
            <w:tcW w:w="1460" w:type="dxa"/>
          </w:tcPr>
          <w:p w:rsidR="00A97D0D" w:rsidRPr="00490E09" w:rsidRDefault="00A97D0D" w:rsidP="00D70DDC">
            <w:pPr>
              <w:rPr>
                <w:rFonts w:ascii="Times New Roman" w:hAnsi="Times New Roman" w:cs="Times New Roman"/>
                <w:sz w:val="24"/>
                <w:szCs w:val="24"/>
              </w:rPr>
            </w:pPr>
            <w:r w:rsidRPr="00490E09">
              <w:rPr>
                <w:rFonts w:ascii="Times New Roman" w:hAnsi="Times New Roman" w:cs="Times New Roman"/>
                <w:sz w:val="24"/>
                <w:szCs w:val="24"/>
              </w:rPr>
              <w:t>CYP2C9 (INH)</w:t>
            </w:r>
          </w:p>
        </w:tc>
        <w:tc>
          <w:tcPr>
            <w:tcW w:w="882" w:type="dxa"/>
          </w:tcPr>
          <w:p w:rsidR="00A97D0D" w:rsidRPr="00490E09" w:rsidRDefault="00A97D0D" w:rsidP="00D70DDC">
            <w:pPr>
              <w:rPr>
                <w:rFonts w:ascii="Times New Roman" w:hAnsi="Times New Roman" w:cs="Times New Roman"/>
                <w:sz w:val="24"/>
                <w:szCs w:val="24"/>
              </w:rPr>
            </w:pPr>
            <w:r w:rsidRPr="00490E09">
              <w:rPr>
                <w:rFonts w:ascii="Times New Roman" w:hAnsi="Times New Roman" w:cs="Times New Roman"/>
                <w:sz w:val="24"/>
                <w:szCs w:val="24"/>
              </w:rPr>
              <w:t>41.9 µM</w:t>
            </w:r>
          </w:p>
        </w:tc>
      </w:tr>
      <w:tr w:rsidR="00A97D0D" w:rsidRPr="00490E09" w:rsidTr="00834DDA">
        <w:trPr>
          <w:trHeight w:val="260"/>
        </w:trPr>
        <w:tc>
          <w:tcPr>
            <w:tcW w:w="1012" w:type="dxa"/>
            <w:vMerge/>
          </w:tcPr>
          <w:p w:rsidR="00A97D0D" w:rsidRPr="00490E09" w:rsidRDefault="00A97D0D" w:rsidP="00D70DDC">
            <w:pPr>
              <w:tabs>
                <w:tab w:val="left" w:pos="625"/>
              </w:tabs>
              <w:rPr>
                <w:rFonts w:ascii="Times New Roman" w:hAnsi="Times New Roman" w:cs="Times New Roman"/>
                <w:sz w:val="24"/>
                <w:szCs w:val="24"/>
              </w:rPr>
            </w:pPr>
          </w:p>
        </w:tc>
        <w:tc>
          <w:tcPr>
            <w:tcW w:w="2498" w:type="dxa"/>
          </w:tcPr>
          <w:p w:rsidR="00A97D0D" w:rsidRPr="00490E09" w:rsidRDefault="00A97D0D" w:rsidP="00516AC8">
            <w:pPr>
              <w:rPr>
                <w:rFonts w:ascii="Times New Roman" w:hAnsi="Times New Roman" w:cs="Times New Roman"/>
                <w:sz w:val="24"/>
                <w:szCs w:val="24"/>
              </w:rPr>
            </w:pPr>
            <w:r w:rsidRPr="00490E09">
              <w:rPr>
                <w:rFonts w:ascii="Times New Roman" w:hAnsi="Times New Roman" w:cs="Times New Roman"/>
                <w:b/>
                <w:sz w:val="24"/>
                <w:szCs w:val="24"/>
              </w:rPr>
              <w:t>Losartan</w:t>
            </w:r>
            <w:r w:rsidR="00227D05" w:rsidRPr="00490E09">
              <w:rPr>
                <w:rFonts w:ascii="Times New Roman" w:hAnsi="Times New Roman" w:cs="Times New Roman"/>
                <w:sz w:val="24"/>
                <w:szCs w:val="24"/>
              </w:rPr>
              <w:fldChar w:fldCharType="begin" w:fldLock="1"/>
            </w:r>
            <w:r w:rsidR="00516AC8">
              <w:rPr>
                <w:rFonts w:ascii="Times New Roman" w:hAnsi="Times New Roman" w:cs="Times New Roman"/>
                <w:sz w:val="24"/>
                <w:szCs w:val="24"/>
              </w:rPr>
              <w:instrText>ADDIN CSL_CITATION {"citationItems":[{"id":"ITEM-1","itemData":{"DOI":"10.2165/00003088-200544080-00003","ISSN":"03125963","abstract":"Losartan is the first orally available angiotensin-receptor antagonist without agonist properties. Following oral administration, losartan is rapidly absorbed, reaching maximum concentrations 1-2 hours post-administration. After oral administration approximately 14% of a losartan dose is converted to the pharmacologically active E 3174 metabolite. E 3174 is 10- to 40-fold more potent than its parent compound and its estimated terminal half-life ranges from 6 to 9 hours. The pharmacokinetics of losartan and E 3174 are linear, dose-proportional and do not substantially change with repetitive administration. The recommended dosage of losartan 50 mg/day can be administered without regard to food. There are no clinically significant effects of age, sex or race on the pharmacokinetics of losartan, and no dosage adjustment is necessary in patients with mild hepatic impairment or various degrees of renal insufficiency. Losartan, or its E 3174 metabolite, is not removed during haemodialysis. The major metabolic pathway for losartan is by the cytochrome P450 (CYP) 3A4, 2C9 and 2C10 isoenzymes. Overall, losartan has a favorable drug-drug interaction profile, as evidenced by the lack of clinically relevant interactions between this drug and a range of inhibitors and stimulators of the CYP450 system. Losartan does not have a drug-drug interaction with hydrochlorothiazide, warfarin or digoxin. Losartan should be avoided in pregnancy, as is the case with all other angiotensin-receptor antagonists. When given in the second and third trimester of pregnancy, losartan is often associated with serious fetal toxicity. Losartan is a competitive antagonist that causes a parallel rightward shift of the concentration-contractile response curve to angiotensin-II, while E 3174 is a noncompetitive 'insurmountable' antagonist of angiotensin-II. The maximum recommended daily dose of losartan is 100mg, which can be given as a once-daily dose or by splitting the same total daily dose into two doses. Losartan reduces blood pressure comparably to other angiotensin-receptor antagonists. Losartan has been extensively studied relative to end-organ protection, with studies having been conducted in diabetic nephropathy, heart failure, post-myocardial infarction and hypertensive patients with left ventricular hypertrophy. The results of these studies have been sufficiently positive to support a more widespread use of angiotensin-receptor antagonists in the setting of various end-organ disease…","author":[{"dropping-particle":"","family":"Sica","given":"Domenic A.","non-dropping-particle":"","parse-names":false,"suffix":""},{"dropping-particle":"","family":"Gehr","given":"Todd W.B.","non-dropping-particle":"","parse-names":false,"suffix":""},{"dropping-particle":"","family":"Ghosh","given":"Siddhartha","non-dropping-particle":"","parse-names":false,"suffix":""}],"container-title":"Clinical Pharmacokinetics","id":"ITEM-1","issue":"8","issued":{"date-parts":[["2005"]]},"page":"797-814","title":"Clinical pharmacokinetics of losartan","type":"article-journal","volume":"44"},"uris":["http://www.mendeley.com/documents/?uuid=c5174d51-1eb6-48ee-b208-aa7c70d18fbc","http://www.mendeley.com/documents/?uuid=b05e258b-70bd-41f3-b409-f98251d01520"]}],"mendeley":{"formattedCitation":"&lt;sup&gt;21&lt;/sup&gt;","plainTextFormattedCitation":"21","previouslyFormattedCitation":"(21)"},"properties":{"noteIndex":0},"schema":"https://github.com/citation-style-language/schema/raw/master/csl-citation.json"}</w:instrText>
            </w:r>
            <w:r w:rsidR="00227D05" w:rsidRPr="00490E09">
              <w:rPr>
                <w:rFonts w:ascii="Times New Roman" w:hAnsi="Times New Roman" w:cs="Times New Roman"/>
                <w:sz w:val="24"/>
                <w:szCs w:val="24"/>
              </w:rPr>
              <w:fldChar w:fldCharType="separate"/>
            </w:r>
            <w:r w:rsidR="00516AC8" w:rsidRPr="00516AC8">
              <w:rPr>
                <w:rFonts w:ascii="Times New Roman" w:hAnsi="Times New Roman" w:cs="Times New Roman"/>
                <w:noProof/>
                <w:sz w:val="24"/>
                <w:szCs w:val="24"/>
                <w:vertAlign w:val="superscript"/>
              </w:rPr>
              <w:t>21</w:t>
            </w:r>
            <w:r w:rsidR="00227D05" w:rsidRPr="00490E09">
              <w:rPr>
                <w:rFonts w:ascii="Times New Roman" w:hAnsi="Times New Roman" w:cs="Times New Roman"/>
                <w:sz w:val="24"/>
                <w:szCs w:val="24"/>
              </w:rPr>
              <w:fldChar w:fldCharType="end"/>
            </w:r>
            <w:r w:rsidRPr="00490E09">
              <w:rPr>
                <w:rFonts w:ascii="Times New Roman" w:hAnsi="Times New Roman" w:cs="Times New Roman"/>
                <w:sz w:val="24"/>
                <w:szCs w:val="24"/>
              </w:rPr>
              <w:t>: (25mg,50mg and 100mg tablets for oral administration)</w:t>
            </w:r>
          </w:p>
        </w:tc>
        <w:tc>
          <w:tcPr>
            <w:tcW w:w="1560" w:type="dxa"/>
          </w:tcPr>
          <w:p w:rsidR="00A97D0D" w:rsidRPr="00490E09" w:rsidRDefault="00A97D0D" w:rsidP="00D70DDC">
            <w:pPr>
              <w:rPr>
                <w:rFonts w:ascii="Times New Roman" w:hAnsi="Times New Roman" w:cs="Times New Roman"/>
                <w:sz w:val="24"/>
                <w:szCs w:val="24"/>
              </w:rPr>
            </w:pPr>
            <w:r w:rsidRPr="00490E09">
              <w:rPr>
                <w:rFonts w:ascii="Times New Roman" w:hAnsi="Times New Roman" w:cs="Times New Roman"/>
                <w:sz w:val="24"/>
                <w:szCs w:val="24"/>
              </w:rPr>
              <w:t>33</w:t>
            </w:r>
          </w:p>
        </w:tc>
        <w:tc>
          <w:tcPr>
            <w:tcW w:w="992" w:type="dxa"/>
          </w:tcPr>
          <w:p w:rsidR="00A97D0D" w:rsidRPr="00490E09" w:rsidRDefault="00A97D0D" w:rsidP="00D70DDC">
            <w:pPr>
              <w:rPr>
                <w:rFonts w:ascii="Times New Roman" w:hAnsi="Times New Roman" w:cs="Times New Roman"/>
                <w:sz w:val="24"/>
                <w:szCs w:val="24"/>
              </w:rPr>
            </w:pPr>
            <w:r w:rsidRPr="00490E09">
              <w:rPr>
                <w:rFonts w:ascii="Times New Roman" w:hAnsi="Times New Roman" w:cs="Times New Roman"/>
                <w:sz w:val="24"/>
                <w:szCs w:val="24"/>
              </w:rPr>
              <w:t>98.6–98.8 for losartan</w:t>
            </w:r>
          </w:p>
          <w:p w:rsidR="00A97D0D" w:rsidRPr="00490E09" w:rsidRDefault="00A97D0D" w:rsidP="00D70DDC">
            <w:pPr>
              <w:rPr>
                <w:rFonts w:ascii="Times New Roman" w:hAnsi="Times New Roman" w:cs="Times New Roman"/>
                <w:sz w:val="24"/>
                <w:szCs w:val="24"/>
              </w:rPr>
            </w:pPr>
            <w:r w:rsidRPr="00490E09">
              <w:rPr>
                <w:rFonts w:ascii="Times New Roman" w:hAnsi="Times New Roman" w:cs="Times New Roman"/>
                <w:sz w:val="24"/>
                <w:szCs w:val="24"/>
              </w:rPr>
              <w:t>99.7 – for active metabolite E3174</w:t>
            </w:r>
          </w:p>
          <w:p w:rsidR="00A97D0D" w:rsidRPr="00490E09" w:rsidRDefault="00A97D0D" w:rsidP="00D70DDC">
            <w:pPr>
              <w:rPr>
                <w:rFonts w:ascii="Times New Roman" w:hAnsi="Times New Roman" w:cs="Times New Roman"/>
                <w:sz w:val="24"/>
                <w:szCs w:val="24"/>
              </w:rPr>
            </w:pPr>
          </w:p>
        </w:tc>
        <w:tc>
          <w:tcPr>
            <w:tcW w:w="1559" w:type="dxa"/>
          </w:tcPr>
          <w:p w:rsidR="00A97D0D" w:rsidRPr="00490E09" w:rsidRDefault="00A97D0D" w:rsidP="00D70DDC">
            <w:pPr>
              <w:rPr>
                <w:rFonts w:ascii="Times New Roman" w:hAnsi="Times New Roman" w:cs="Times New Roman"/>
                <w:sz w:val="24"/>
                <w:szCs w:val="24"/>
              </w:rPr>
            </w:pPr>
            <w:r w:rsidRPr="00490E09">
              <w:rPr>
                <w:rFonts w:ascii="Times New Roman" w:hAnsi="Times New Roman" w:cs="Times New Roman"/>
                <w:sz w:val="24"/>
                <w:szCs w:val="24"/>
              </w:rPr>
              <w:t>0.29 µg/L for losartan</w:t>
            </w:r>
          </w:p>
          <w:p w:rsidR="00A97D0D" w:rsidRPr="00490E09" w:rsidRDefault="00A97D0D" w:rsidP="00D70DDC">
            <w:pPr>
              <w:rPr>
                <w:rFonts w:ascii="Times New Roman" w:hAnsi="Times New Roman" w:cs="Times New Roman"/>
                <w:sz w:val="24"/>
                <w:szCs w:val="24"/>
              </w:rPr>
            </w:pPr>
            <w:r w:rsidRPr="00490E09">
              <w:rPr>
                <w:rFonts w:ascii="Times New Roman" w:hAnsi="Times New Roman" w:cs="Times New Roman"/>
                <w:sz w:val="24"/>
                <w:szCs w:val="24"/>
              </w:rPr>
              <w:t>0.25 µg/L for E3174</w:t>
            </w:r>
          </w:p>
        </w:tc>
        <w:tc>
          <w:tcPr>
            <w:tcW w:w="2181" w:type="dxa"/>
          </w:tcPr>
          <w:p w:rsidR="00A97D0D" w:rsidRPr="00490E09" w:rsidRDefault="00A97D0D" w:rsidP="00D70DDC">
            <w:pPr>
              <w:rPr>
                <w:rFonts w:ascii="Times New Roman" w:hAnsi="Times New Roman" w:cs="Times New Roman"/>
                <w:sz w:val="24"/>
                <w:szCs w:val="24"/>
              </w:rPr>
            </w:pPr>
            <w:r w:rsidRPr="00490E09">
              <w:rPr>
                <w:rFonts w:ascii="Times New Roman" w:hAnsi="Times New Roman" w:cs="Times New Roman"/>
                <w:sz w:val="24"/>
                <w:szCs w:val="24"/>
              </w:rPr>
              <w:t>NA</w:t>
            </w:r>
          </w:p>
        </w:tc>
        <w:tc>
          <w:tcPr>
            <w:tcW w:w="1097" w:type="dxa"/>
          </w:tcPr>
          <w:p w:rsidR="00A97D0D" w:rsidRPr="00490E09" w:rsidRDefault="00A97D0D" w:rsidP="00D70DDC">
            <w:pPr>
              <w:rPr>
                <w:rFonts w:ascii="Times New Roman" w:hAnsi="Times New Roman" w:cs="Times New Roman"/>
                <w:sz w:val="24"/>
                <w:szCs w:val="24"/>
              </w:rPr>
            </w:pPr>
            <w:r w:rsidRPr="00490E09">
              <w:rPr>
                <w:rFonts w:ascii="Times New Roman" w:hAnsi="Times New Roman" w:cs="Times New Roman"/>
                <w:sz w:val="24"/>
                <w:szCs w:val="24"/>
              </w:rPr>
              <w:t>4.3 L/hr for losartan,</w:t>
            </w:r>
          </w:p>
          <w:p w:rsidR="00A97D0D" w:rsidRPr="00490E09" w:rsidRDefault="00A97D0D" w:rsidP="00D70DDC">
            <w:pPr>
              <w:rPr>
                <w:rFonts w:ascii="Times New Roman" w:hAnsi="Times New Roman" w:cs="Times New Roman"/>
                <w:sz w:val="24"/>
                <w:szCs w:val="24"/>
              </w:rPr>
            </w:pPr>
            <w:r w:rsidRPr="00490E09">
              <w:rPr>
                <w:rFonts w:ascii="Times New Roman" w:hAnsi="Times New Roman" w:cs="Times New Roman"/>
                <w:sz w:val="24"/>
                <w:szCs w:val="24"/>
              </w:rPr>
              <w:t>1.6 L/hr for E3174</w:t>
            </w:r>
          </w:p>
        </w:tc>
        <w:tc>
          <w:tcPr>
            <w:tcW w:w="933" w:type="dxa"/>
          </w:tcPr>
          <w:p w:rsidR="00A97D0D" w:rsidRPr="00490E09" w:rsidRDefault="00A97D0D" w:rsidP="00D70DDC">
            <w:pPr>
              <w:rPr>
                <w:rFonts w:ascii="Times New Roman" w:hAnsi="Times New Roman" w:cs="Times New Roman"/>
                <w:sz w:val="24"/>
                <w:szCs w:val="24"/>
              </w:rPr>
            </w:pPr>
            <w:r w:rsidRPr="00490E09">
              <w:rPr>
                <w:rFonts w:ascii="Times New Roman" w:hAnsi="Times New Roman" w:cs="Times New Roman"/>
                <w:sz w:val="24"/>
                <w:szCs w:val="24"/>
              </w:rPr>
              <w:t>2.1 hr for losartan,</w:t>
            </w:r>
          </w:p>
          <w:p w:rsidR="00A97D0D" w:rsidRPr="00490E09" w:rsidRDefault="00A97D0D" w:rsidP="00D70DDC">
            <w:pPr>
              <w:rPr>
                <w:rFonts w:ascii="Times New Roman" w:hAnsi="Times New Roman" w:cs="Times New Roman"/>
                <w:sz w:val="24"/>
                <w:szCs w:val="24"/>
              </w:rPr>
            </w:pPr>
            <w:r w:rsidRPr="00490E09">
              <w:rPr>
                <w:rFonts w:ascii="Times New Roman" w:hAnsi="Times New Roman" w:cs="Times New Roman"/>
                <w:sz w:val="24"/>
                <w:szCs w:val="24"/>
              </w:rPr>
              <w:t>6.4 hr for E3174</w:t>
            </w:r>
          </w:p>
        </w:tc>
        <w:tc>
          <w:tcPr>
            <w:tcW w:w="1460" w:type="dxa"/>
          </w:tcPr>
          <w:p w:rsidR="00A97D0D" w:rsidRPr="00490E09" w:rsidRDefault="00A97D0D" w:rsidP="00D70DDC">
            <w:pPr>
              <w:rPr>
                <w:rFonts w:ascii="Times New Roman" w:hAnsi="Times New Roman" w:cs="Times New Roman"/>
                <w:sz w:val="24"/>
                <w:szCs w:val="24"/>
              </w:rPr>
            </w:pPr>
            <w:r w:rsidRPr="00490E09">
              <w:rPr>
                <w:rFonts w:ascii="Times New Roman" w:hAnsi="Times New Roman" w:cs="Times New Roman"/>
                <w:sz w:val="24"/>
                <w:szCs w:val="24"/>
              </w:rPr>
              <w:t>CYP2C9 (SINH)</w:t>
            </w:r>
          </w:p>
        </w:tc>
        <w:tc>
          <w:tcPr>
            <w:tcW w:w="882" w:type="dxa"/>
          </w:tcPr>
          <w:p w:rsidR="00A97D0D" w:rsidRPr="00490E09" w:rsidRDefault="00A97D0D" w:rsidP="00D70DDC">
            <w:pPr>
              <w:rPr>
                <w:rFonts w:ascii="Times New Roman" w:hAnsi="Times New Roman" w:cs="Times New Roman"/>
                <w:sz w:val="24"/>
                <w:szCs w:val="24"/>
              </w:rPr>
            </w:pPr>
            <w:r w:rsidRPr="00490E09">
              <w:rPr>
                <w:rFonts w:ascii="Times New Roman" w:hAnsi="Times New Roman" w:cs="Times New Roman"/>
                <w:sz w:val="24"/>
                <w:szCs w:val="24"/>
              </w:rPr>
              <w:t>39.5 µM</w:t>
            </w:r>
          </w:p>
        </w:tc>
      </w:tr>
      <w:tr w:rsidR="00A97D0D" w:rsidRPr="00490E09" w:rsidTr="00834DDA">
        <w:trPr>
          <w:cantSplit/>
          <w:trHeight w:val="1134"/>
        </w:trPr>
        <w:tc>
          <w:tcPr>
            <w:tcW w:w="1012" w:type="dxa"/>
          </w:tcPr>
          <w:p w:rsidR="00A97D0D" w:rsidRPr="00490E09" w:rsidRDefault="00A97D0D" w:rsidP="00D70DDC">
            <w:pPr>
              <w:tabs>
                <w:tab w:val="left" w:pos="625"/>
              </w:tabs>
              <w:rPr>
                <w:rFonts w:ascii="Times New Roman" w:hAnsi="Times New Roman" w:cs="Times New Roman"/>
                <w:sz w:val="24"/>
                <w:szCs w:val="24"/>
              </w:rPr>
            </w:pPr>
            <w:r w:rsidRPr="00490E09">
              <w:rPr>
                <w:rFonts w:ascii="Times New Roman" w:hAnsi="Times New Roman" w:cs="Times New Roman"/>
                <w:sz w:val="24"/>
                <w:szCs w:val="24"/>
              </w:rPr>
              <w:lastRenderedPageBreak/>
              <w:t>Anti-asthmatics</w:t>
            </w:r>
          </w:p>
        </w:tc>
        <w:tc>
          <w:tcPr>
            <w:tcW w:w="2498" w:type="dxa"/>
          </w:tcPr>
          <w:p w:rsidR="00A97D0D" w:rsidRPr="00490E09" w:rsidRDefault="00A97D0D" w:rsidP="00516AC8">
            <w:pPr>
              <w:rPr>
                <w:rFonts w:ascii="Times New Roman" w:hAnsi="Times New Roman" w:cs="Times New Roman"/>
                <w:sz w:val="24"/>
                <w:szCs w:val="24"/>
              </w:rPr>
            </w:pPr>
            <w:r w:rsidRPr="00490E09">
              <w:rPr>
                <w:rFonts w:ascii="Times New Roman" w:hAnsi="Times New Roman" w:cs="Times New Roman"/>
                <w:b/>
                <w:sz w:val="24"/>
                <w:szCs w:val="24"/>
              </w:rPr>
              <w:t>Theophylline</w:t>
            </w:r>
            <w:r w:rsidR="00227D05" w:rsidRPr="00490E09">
              <w:rPr>
                <w:rFonts w:ascii="Times New Roman" w:hAnsi="Times New Roman" w:cs="Times New Roman"/>
                <w:sz w:val="24"/>
                <w:szCs w:val="24"/>
              </w:rPr>
              <w:fldChar w:fldCharType="begin" w:fldLock="1"/>
            </w:r>
            <w:r w:rsidR="00516AC8">
              <w:rPr>
                <w:rFonts w:ascii="Times New Roman" w:hAnsi="Times New Roman" w:cs="Times New Roman"/>
                <w:sz w:val="24"/>
                <w:szCs w:val="24"/>
              </w:rPr>
              <w:instrText>ADDIN CSL_CITATION {"citationItems":[{"id":"ITEM-1","itemData":{"DOI":"10.3109/03602538308991392","ISSN":"03602532","author":[{"dropping-particle":"","family":"Haley","given":"Thomas J.","non-dropping-particle":"","parse-names":false,"suffix":""}],"container-title":"Drug Metabolism Reviews","id":"ITEM-1","issue":"2","issued":{"date-parts":[["1983"]]},"page":"295-335","title":"Metabolism and pharmacokinetics of theophylline in human neonates, children, and adults","type":"article-journal","volume":"14"},"uris":["http://www.mendeley.com/documents/?uuid=b1897ae3-d421-4bc4-9217-9609af8c6f2a","http://www.mendeley.com/documents/?uuid=46d8a821-d823-45ed-a78d-97936430bb9f"]}],"mendeley":{"formattedCitation":"&lt;sup&gt;22&lt;/sup&gt;","plainTextFormattedCitation":"22","previouslyFormattedCitation":"(22)"},"properties":{"noteIndex":0},"schema":"https://github.com/citation-style-language/schema/raw/master/csl-citation.json"}</w:instrText>
            </w:r>
            <w:r w:rsidR="00227D05" w:rsidRPr="00490E09">
              <w:rPr>
                <w:rFonts w:ascii="Times New Roman" w:hAnsi="Times New Roman" w:cs="Times New Roman"/>
                <w:sz w:val="24"/>
                <w:szCs w:val="24"/>
              </w:rPr>
              <w:fldChar w:fldCharType="separate"/>
            </w:r>
            <w:r w:rsidR="00516AC8" w:rsidRPr="00516AC8">
              <w:rPr>
                <w:rFonts w:ascii="Times New Roman" w:hAnsi="Times New Roman" w:cs="Times New Roman"/>
                <w:noProof/>
                <w:sz w:val="24"/>
                <w:szCs w:val="24"/>
                <w:vertAlign w:val="superscript"/>
              </w:rPr>
              <w:t>22</w:t>
            </w:r>
            <w:r w:rsidR="00227D05" w:rsidRPr="00490E09">
              <w:rPr>
                <w:rFonts w:ascii="Times New Roman" w:hAnsi="Times New Roman" w:cs="Times New Roman"/>
                <w:sz w:val="24"/>
                <w:szCs w:val="24"/>
              </w:rPr>
              <w:fldChar w:fldCharType="end"/>
            </w:r>
            <w:r w:rsidR="00245191">
              <w:rPr>
                <w:rFonts w:ascii="Times New Roman" w:hAnsi="Times New Roman" w:cs="Times New Roman"/>
                <w:sz w:val="24"/>
                <w:szCs w:val="24"/>
                <w:vertAlign w:val="superscript"/>
              </w:rPr>
              <w:t>,</w:t>
            </w:r>
            <w:r w:rsidR="00227D05" w:rsidRPr="00490E09">
              <w:rPr>
                <w:rFonts w:ascii="Times New Roman" w:hAnsi="Times New Roman" w:cs="Times New Roman"/>
                <w:sz w:val="24"/>
                <w:szCs w:val="24"/>
              </w:rPr>
              <w:fldChar w:fldCharType="begin" w:fldLock="1"/>
            </w:r>
            <w:r w:rsidR="00516AC8">
              <w:rPr>
                <w:rFonts w:ascii="Times New Roman" w:hAnsi="Times New Roman" w:cs="Times New Roman"/>
                <w:sz w:val="24"/>
                <w:szCs w:val="24"/>
              </w:rPr>
              <w:instrText>ADDIN CSL_CITATION {"citationItems":[{"id":"ITEM-1","itemData":{"DOI":"10.1111/j.1365-2125.1995.tb04455.x","ISSN":"13652125","abstract":"1. Theophylline metabolism was studied using seven human cytochrome P‐ 450 isoforms (CYPs), namely CYP1A1, 1A2, 2A6, 2B6, 2D6, 2E1 and 3A4, and microsomal epoxide hydroxylase (EH), expressed in human B‐ lymphoblastoid cell lines. 2. At a high theophylline concentration of 10 mM four CYPs (1A1, 1A2, 2D6, 2E1) catalyzed the metabolism of theophylline. 3. Theophylline had the highest affinity (apparent Km range 0.2‐1.0 mM) for the CYP1A subfamily and the kinetics of metabolic formation mediated by CYP1A2 indicated substrate‐inhibition (Ki range 9‐ 16 mM). 4. CYP1A2 catalyzed the demethylation of theophylline as well as its hydroxylation, and was associated with the highest intrinsic clearance (1995 l h‐1 per mol CYP) to 1,3‐dimethyluric acid (DMU). Therefore, this isoform can be considered to be the most important enzyme involved in theophylline metabolism in vitro. 5. CYP2E1 was responsible for a relatively high intrinsic clearance by 8‐ hydroxylation (289 l h‐1 per mol CYP). The apparent Km value of this reaction was about 15 mM, suggesting that CYP2E1 may be the low‐ affinity high‐capacity isoform involved in theophylline metabolism. 6. The affinity of theophylline for CYP1A1 was comparable with that of its homologue 1A2. When induced, the participation of CYP1A1 in theophylline metabolism may be important. 7. CYP2D6 played only a minor role and CYP3A4 was not active in the in vitro metabolism of theophylline. 8. Our findings confirm the major role of CYP1A2 in theophylline metabolism and explain why in vivo the elimination kinetics of theophylline are non‐linear and in vitro theophylline metabolism by human liver microsomes does not obey monophasic kinetics. 9. The data suggest also that not only tobacco smoking but also chronic alcohol intake may influence theophylline elimination in man as ethanol induces CYP2E1. 1995 The British Pharmacological Society","author":[{"dropping-particle":"","family":"Ha","given":"HR","non-dropping-particle":"","parse-names":false,"suffix":""},{"dropping-particle":"","family":"Chen","given":"J.","non-dropping-particle":"","parse-names":false,"suffix":""},{"dropping-particle":"","family":"Freiburghaus","given":"AU","non-dropping-particle":"","parse-names":false,"suffix":""},{"dropping-particle":"","family":"Follath","given":"F.","non-dropping-particle":"","parse-names":false,"suffix":""}],"container-title":"British Journal of Clinical Pharmacology","id":"ITEM-1","issue":"3","issued":{"date-parts":[["1995"]]},"page":"321-326","title":"Metabolism of theophylline by cDNA‐expressed human cytochromes P‐450.","type":"article-journal","volume":"39"},"uris":["http://www.mendeley.com/documents/?uuid=e2ee64b5-9d65-4e4b-a33f-355294a74ffa","http://www.mendeley.com/documents/?uuid=24314695-7697-41e5-8c8d-7be9cbe7af74"]}],"mendeley":{"formattedCitation":"&lt;sup&gt;23&lt;/sup&gt;","plainTextFormattedCitation":"23","previouslyFormattedCitation":"(23)"},"properties":{"noteIndex":0},"schema":"https://github.com/citation-style-language/schema/raw/master/csl-citation.json"}</w:instrText>
            </w:r>
            <w:r w:rsidR="00227D05" w:rsidRPr="00490E09">
              <w:rPr>
                <w:rFonts w:ascii="Times New Roman" w:hAnsi="Times New Roman" w:cs="Times New Roman"/>
                <w:sz w:val="24"/>
                <w:szCs w:val="24"/>
              </w:rPr>
              <w:fldChar w:fldCharType="separate"/>
            </w:r>
            <w:r w:rsidR="00516AC8" w:rsidRPr="00516AC8">
              <w:rPr>
                <w:rFonts w:ascii="Times New Roman" w:hAnsi="Times New Roman" w:cs="Times New Roman"/>
                <w:noProof/>
                <w:sz w:val="24"/>
                <w:szCs w:val="24"/>
                <w:vertAlign w:val="superscript"/>
              </w:rPr>
              <w:t>23</w:t>
            </w:r>
            <w:r w:rsidR="00227D05" w:rsidRPr="00490E09">
              <w:rPr>
                <w:rFonts w:ascii="Times New Roman" w:hAnsi="Times New Roman" w:cs="Times New Roman"/>
                <w:sz w:val="24"/>
                <w:szCs w:val="24"/>
              </w:rPr>
              <w:fldChar w:fldCharType="end"/>
            </w:r>
            <w:r w:rsidR="00245191">
              <w:rPr>
                <w:rFonts w:ascii="Times New Roman" w:hAnsi="Times New Roman" w:cs="Times New Roman"/>
                <w:sz w:val="24"/>
                <w:szCs w:val="24"/>
                <w:vertAlign w:val="superscript"/>
              </w:rPr>
              <w:t>,</w:t>
            </w:r>
            <w:r w:rsidR="00227D05" w:rsidRPr="00490E09">
              <w:rPr>
                <w:rFonts w:ascii="Times New Roman" w:hAnsi="Times New Roman" w:cs="Times New Roman"/>
                <w:sz w:val="24"/>
                <w:szCs w:val="24"/>
              </w:rPr>
              <w:fldChar w:fldCharType="begin" w:fldLock="1"/>
            </w:r>
            <w:r w:rsidR="00516AC8">
              <w:rPr>
                <w:rFonts w:ascii="Times New Roman" w:hAnsi="Times New Roman" w:cs="Times New Roman"/>
                <w:sz w:val="24"/>
                <w:szCs w:val="24"/>
              </w:rPr>
              <w:instrText>ADDIN CSL_CITATION {"citationItems":[{"id":"ITEM-1","itemData":{"URL":"https://www.accessdata.fda.gov/drugsatfda_docs/label/2008/019211s040lbl.pdf","id":"ITEM-1","issued":{"date-parts":[["0"]]},"title":"THEOPHYLLINE 200, 400 AND 800 mg in 5% Dextrose Injection, USP","type":"webpage"},"uris":["http://www.mendeley.com/documents/?uuid=be077d6d-571a-4de2-aab7-efc015b29be0","http://www.mendeley.com/documents/?uuid=2f1a6164-e5ed-494d-b58c-f13194c949c5"]}],"mendeley":{"formattedCitation":"&lt;sup&gt;24&lt;/sup&gt;","plainTextFormattedCitation":"24","previouslyFormattedCitation":"(24)"},"properties":{"noteIndex":0},"schema":"https://github.com/citation-style-language/schema/raw/master/csl-citation.json"}</w:instrText>
            </w:r>
            <w:r w:rsidR="00227D05" w:rsidRPr="00490E09">
              <w:rPr>
                <w:rFonts w:ascii="Times New Roman" w:hAnsi="Times New Roman" w:cs="Times New Roman"/>
                <w:sz w:val="24"/>
                <w:szCs w:val="24"/>
              </w:rPr>
              <w:fldChar w:fldCharType="separate"/>
            </w:r>
            <w:r w:rsidR="00516AC8" w:rsidRPr="00516AC8">
              <w:rPr>
                <w:rFonts w:ascii="Times New Roman" w:hAnsi="Times New Roman" w:cs="Times New Roman"/>
                <w:noProof/>
                <w:sz w:val="24"/>
                <w:szCs w:val="24"/>
                <w:vertAlign w:val="superscript"/>
              </w:rPr>
              <w:t>24</w:t>
            </w:r>
            <w:r w:rsidR="00227D05" w:rsidRPr="00490E09">
              <w:rPr>
                <w:rFonts w:ascii="Times New Roman" w:hAnsi="Times New Roman" w:cs="Times New Roman"/>
                <w:sz w:val="24"/>
                <w:szCs w:val="24"/>
              </w:rPr>
              <w:fldChar w:fldCharType="end"/>
            </w:r>
            <w:r w:rsidRPr="00490E09">
              <w:rPr>
                <w:rFonts w:ascii="Times New Roman" w:hAnsi="Times New Roman" w:cs="Times New Roman"/>
                <w:sz w:val="24"/>
                <w:szCs w:val="24"/>
              </w:rPr>
              <w:t>: (200mg,400mg and 800mg in 5% dextrose injection)</w:t>
            </w:r>
          </w:p>
        </w:tc>
        <w:tc>
          <w:tcPr>
            <w:tcW w:w="1560" w:type="dxa"/>
          </w:tcPr>
          <w:p w:rsidR="00A97D0D" w:rsidRPr="00490E09" w:rsidRDefault="00A97D0D" w:rsidP="00D70DDC">
            <w:pPr>
              <w:rPr>
                <w:rFonts w:ascii="Times New Roman" w:hAnsi="Times New Roman" w:cs="Times New Roman"/>
                <w:sz w:val="24"/>
                <w:szCs w:val="24"/>
              </w:rPr>
            </w:pPr>
            <w:r w:rsidRPr="00490E09">
              <w:rPr>
                <w:rFonts w:ascii="Times New Roman" w:hAnsi="Times New Roman" w:cs="Times New Roman"/>
                <w:sz w:val="24"/>
                <w:szCs w:val="24"/>
              </w:rPr>
              <w:t>NA</w:t>
            </w:r>
          </w:p>
        </w:tc>
        <w:tc>
          <w:tcPr>
            <w:tcW w:w="992" w:type="dxa"/>
          </w:tcPr>
          <w:p w:rsidR="00A97D0D" w:rsidRPr="00490E09" w:rsidRDefault="00A97D0D" w:rsidP="00D70DDC">
            <w:pPr>
              <w:rPr>
                <w:rFonts w:ascii="Times New Roman" w:hAnsi="Times New Roman" w:cs="Times New Roman"/>
                <w:sz w:val="24"/>
                <w:szCs w:val="24"/>
              </w:rPr>
            </w:pPr>
            <w:r w:rsidRPr="00490E09">
              <w:rPr>
                <w:rFonts w:ascii="Times New Roman" w:hAnsi="Times New Roman" w:cs="Times New Roman"/>
                <w:sz w:val="24"/>
                <w:szCs w:val="24"/>
              </w:rPr>
              <w:t>40</w:t>
            </w:r>
          </w:p>
        </w:tc>
        <w:tc>
          <w:tcPr>
            <w:tcW w:w="1559" w:type="dxa"/>
          </w:tcPr>
          <w:p w:rsidR="00A97D0D" w:rsidRPr="00490E09" w:rsidRDefault="00A97D0D" w:rsidP="00D70DDC">
            <w:pPr>
              <w:rPr>
                <w:rFonts w:ascii="Times New Roman" w:hAnsi="Times New Roman" w:cs="Times New Roman"/>
                <w:sz w:val="24"/>
                <w:szCs w:val="24"/>
              </w:rPr>
            </w:pPr>
            <w:r w:rsidRPr="00490E09">
              <w:rPr>
                <w:rFonts w:ascii="Times New Roman" w:hAnsi="Times New Roman" w:cs="Times New Roman"/>
                <w:sz w:val="24"/>
                <w:szCs w:val="24"/>
              </w:rPr>
              <w:t>NA</w:t>
            </w:r>
          </w:p>
        </w:tc>
        <w:tc>
          <w:tcPr>
            <w:tcW w:w="2181" w:type="dxa"/>
          </w:tcPr>
          <w:p w:rsidR="00A97D0D" w:rsidRPr="00490E09" w:rsidRDefault="00A97D0D" w:rsidP="00D70DDC">
            <w:pPr>
              <w:rPr>
                <w:rFonts w:ascii="Times New Roman" w:hAnsi="Times New Roman" w:cs="Times New Roman"/>
                <w:sz w:val="24"/>
                <w:szCs w:val="24"/>
              </w:rPr>
            </w:pPr>
            <w:r w:rsidRPr="00490E09">
              <w:rPr>
                <w:rFonts w:ascii="Times New Roman" w:hAnsi="Times New Roman" w:cs="Times New Roman"/>
                <w:sz w:val="24"/>
                <w:szCs w:val="24"/>
              </w:rPr>
              <w:t>NA</w:t>
            </w:r>
          </w:p>
        </w:tc>
        <w:tc>
          <w:tcPr>
            <w:tcW w:w="1097" w:type="dxa"/>
          </w:tcPr>
          <w:p w:rsidR="00A97D0D" w:rsidRPr="00490E09" w:rsidRDefault="00A97D0D" w:rsidP="00D70DDC">
            <w:pPr>
              <w:rPr>
                <w:rFonts w:ascii="Times New Roman" w:hAnsi="Times New Roman" w:cs="Times New Roman"/>
                <w:sz w:val="24"/>
                <w:szCs w:val="24"/>
              </w:rPr>
            </w:pPr>
            <w:r w:rsidRPr="00490E09">
              <w:rPr>
                <w:rFonts w:ascii="Times New Roman" w:hAnsi="Times New Roman" w:cs="Times New Roman"/>
                <w:sz w:val="24"/>
                <w:szCs w:val="24"/>
              </w:rPr>
              <w:t>0.65 mL/kg/min [Adults (16-60 years), otherwise healthy non-smoking asthmatics]</w:t>
            </w:r>
          </w:p>
        </w:tc>
        <w:tc>
          <w:tcPr>
            <w:tcW w:w="933" w:type="dxa"/>
          </w:tcPr>
          <w:p w:rsidR="00A97D0D" w:rsidRPr="00490E09" w:rsidRDefault="00A97D0D" w:rsidP="00D70DDC">
            <w:pPr>
              <w:rPr>
                <w:rFonts w:ascii="Times New Roman" w:hAnsi="Times New Roman" w:cs="Times New Roman"/>
                <w:sz w:val="24"/>
                <w:szCs w:val="24"/>
              </w:rPr>
            </w:pPr>
            <w:r w:rsidRPr="00490E09">
              <w:rPr>
                <w:rFonts w:ascii="Times New Roman" w:hAnsi="Times New Roman" w:cs="Times New Roman"/>
                <w:sz w:val="24"/>
                <w:szCs w:val="24"/>
              </w:rPr>
              <w:t>8 hr</w:t>
            </w:r>
          </w:p>
        </w:tc>
        <w:tc>
          <w:tcPr>
            <w:tcW w:w="1460" w:type="dxa"/>
          </w:tcPr>
          <w:p w:rsidR="00A97D0D" w:rsidRPr="00490E09" w:rsidRDefault="00A97D0D" w:rsidP="00D70DDC">
            <w:pPr>
              <w:rPr>
                <w:rFonts w:ascii="Times New Roman" w:hAnsi="Times New Roman" w:cs="Times New Roman"/>
                <w:sz w:val="24"/>
                <w:szCs w:val="24"/>
              </w:rPr>
            </w:pPr>
            <w:r w:rsidRPr="00490E09">
              <w:rPr>
                <w:rFonts w:ascii="Times New Roman" w:hAnsi="Times New Roman" w:cs="Times New Roman"/>
                <w:sz w:val="24"/>
                <w:szCs w:val="24"/>
              </w:rPr>
              <w:t>CYP1A2 (SINH)</w:t>
            </w:r>
          </w:p>
        </w:tc>
        <w:tc>
          <w:tcPr>
            <w:tcW w:w="882" w:type="dxa"/>
          </w:tcPr>
          <w:p w:rsidR="00A97D0D" w:rsidRPr="00490E09" w:rsidRDefault="00A97D0D" w:rsidP="00D70DDC">
            <w:pPr>
              <w:rPr>
                <w:rFonts w:ascii="Times New Roman" w:hAnsi="Times New Roman" w:cs="Times New Roman"/>
                <w:sz w:val="24"/>
                <w:szCs w:val="24"/>
              </w:rPr>
            </w:pPr>
            <w:r w:rsidRPr="00490E09">
              <w:rPr>
                <w:rFonts w:ascii="Times New Roman" w:hAnsi="Times New Roman" w:cs="Times New Roman"/>
                <w:sz w:val="24"/>
                <w:szCs w:val="24"/>
              </w:rPr>
              <w:t>120 µM</w:t>
            </w:r>
          </w:p>
        </w:tc>
      </w:tr>
      <w:tr w:rsidR="00A97D0D" w:rsidRPr="00490E09" w:rsidTr="00834DDA">
        <w:trPr>
          <w:trHeight w:val="260"/>
        </w:trPr>
        <w:tc>
          <w:tcPr>
            <w:tcW w:w="1012" w:type="dxa"/>
            <w:vMerge w:val="restart"/>
          </w:tcPr>
          <w:p w:rsidR="00A97D0D" w:rsidRPr="00490E09" w:rsidRDefault="00A97D0D" w:rsidP="00D70DDC">
            <w:pPr>
              <w:tabs>
                <w:tab w:val="left" w:pos="625"/>
              </w:tabs>
              <w:rPr>
                <w:rFonts w:ascii="Times New Roman" w:hAnsi="Times New Roman" w:cs="Times New Roman"/>
                <w:sz w:val="24"/>
                <w:szCs w:val="24"/>
              </w:rPr>
            </w:pPr>
            <w:r w:rsidRPr="00490E09">
              <w:rPr>
                <w:rFonts w:ascii="Times New Roman" w:hAnsi="Times New Roman" w:cs="Times New Roman"/>
                <w:sz w:val="24"/>
                <w:szCs w:val="24"/>
              </w:rPr>
              <w:t>Anti-diabetic</w:t>
            </w:r>
          </w:p>
        </w:tc>
        <w:tc>
          <w:tcPr>
            <w:tcW w:w="2498" w:type="dxa"/>
          </w:tcPr>
          <w:p w:rsidR="00A97D0D" w:rsidRPr="00490E09" w:rsidRDefault="00A97D0D" w:rsidP="00516AC8">
            <w:pPr>
              <w:rPr>
                <w:rFonts w:ascii="Times New Roman" w:hAnsi="Times New Roman" w:cs="Times New Roman"/>
                <w:sz w:val="24"/>
                <w:szCs w:val="24"/>
              </w:rPr>
            </w:pPr>
            <w:r w:rsidRPr="00490E09">
              <w:rPr>
                <w:rFonts w:ascii="Times New Roman" w:hAnsi="Times New Roman" w:cs="Times New Roman"/>
                <w:b/>
                <w:sz w:val="24"/>
                <w:szCs w:val="24"/>
              </w:rPr>
              <w:t>Glimepiride</w:t>
            </w:r>
            <w:r w:rsidR="00227D05" w:rsidRPr="00490E09">
              <w:rPr>
                <w:rFonts w:ascii="Times New Roman" w:hAnsi="Times New Roman" w:cs="Times New Roman"/>
                <w:sz w:val="24"/>
                <w:szCs w:val="24"/>
              </w:rPr>
              <w:fldChar w:fldCharType="begin" w:fldLock="1"/>
            </w:r>
            <w:r w:rsidR="00516AC8">
              <w:rPr>
                <w:rFonts w:ascii="Times New Roman" w:hAnsi="Times New Roman" w:cs="Times New Roman"/>
                <w:sz w:val="24"/>
                <w:szCs w:val="24"/>
              </w:rPr>
              <w:instrText>ADDIN CSL_CITATION {"citationItems":[{"id":"ITEM-1","itemData":{"URL":"https://www.accessdata.fda.gov/drugsatfda_docs/label/2013/020496s027lbl.pdf","author":[{"dropping-particle":"","family":"Accessdata.fda","given":"","non-dropping-particle":"","parse-names":false,"suffix":""}],"id":"ITEM-1","issued":{"date-parts":[["1995"]]},"title":"AMARYL (glimepiride) tablets","type":"webpage"},"uris":["http://www.mendeley.com/documents/?uuid=3454eea7-bb2a-40d5-b388-94566c99cdf6","http://www.mendeley.com/documents/?uuid=ff63f952-7135-48c2-80ed-e05e94dfbee7"]}],"mendeley":{"formattedCitation":"&lt;sup&gt;25&lt;/sup&gt;","plainTextFormattedCitation":"25","previouslyFormattedCitation":"(25)"},"properties":{"noteIndex":0},"schema":"https://github.com/citation-style-language/schema/raw/master/csl-citation.json"}</w:instrText>
            </w:r>
            <w:r w:rsidR="00227D05" w:rsidRPr="00490E09">
              <w:rPr>
                <w:rFonts w:ascii="Times New Roman" w:hAnsi="Times New Roman" w:cs="Times New Roman"/>
                <w:sz w:val="24"/>
                <w:szCs w:val="24"/>
              </w:rPr>
              <w:fldChar w:fldCharType="separate"/>
            </w:r>
            <w:r w:rsidR="00516AC8" w:rsidRPr="00516AC8">
              <w:rPr>
                <w:rFonts w:ascii="Times New Roman" w:hAnsi="Times New Roman" w:cs="Times New Roman"/>
                <w:noProof/>
                <w:sz w:val="24"/>
                <w:szCs w:val="24"/>
                <w:vertAlign w:val="superscript"/>
              </w:rPr>
              <w:t>25</w:t>
            </w:r>
            <w:r w:rsidR="00227D05" w:rsidRPr="00490E09">
              <w:rPr>
                <w:rFonts w:ascii="Times New Roman" w:hAnsi="Times New Roman" w:cs="Times New Roman"/>
                <w:sz w:val="24"/>
                <w:szCs w:val="24"/>
              </w:rPr>
              <w:fldChar w:fldCharType="end"/>
            </w:r>
            <w:r w:rsidR="00245191">
              <w:rPr>
                <w:rFonts w:ascii="Times New Roman" w:hAnsi="Times New Roman" w:cs="Times New Roman"/>
                <w:sz w:val="24"/>
                <w:szCs w:val="24"/>
                <w:vertAlign w:val="superscript"/>
              </w:rPr>
              <w:t>,</w:t>
            </w:r>
            <w:r w:rsidR="00227D05" w:rsidRPr="00490E09">
              <w:rPr>
                <w:rFonts w:ascii="Times New Roman" w:hAnsi="Times New Roman" w:cs="Times New Roman"/>
                <w:sz w:val="24"/>
                <w:szCs w:val="24"/>
              </w:rPr>
              <w:fldChar w:fldCharType="begin" w:fldLock="1"/>
            </w:r>
            <w:r w:rsidR="00516AC8">
              <w:rPr>
                <w:rFonts w:ascii="Times New Roman" w:hAnsi="Times New Roman" w:cs="Times New Roman"/>
                <w:sz w:val="24"/>
                <w:szCs w:val="24"/>
              </w:rPr>
              <w:instrText>ADDIN CSL_CITATION {"citationItems":[{"id":"ITEM-1","itemData":{"DOI":"10.1515/DMDI.1994.11.4.331","ISSN":"21910162","abstract":"Twelve healthy fasting male volunteers received a single 1.0 mg dose of glimepiride either as an intravenous injection over one minute or as a tablet. Blood and urine samples were taken before drug administration and afterwards for up to 24 hours (blood) and 48 hours (urine) to determine serum and urinary concentrations of glimepiride and its hydroxy- and carboxy-metabolites (Ml and M2). There were no statistically significant differences between mean serum pharmacokinetic parameters for the oral and intravenous formulations either with glimepiride or Ml. Mean urinary recovery of Ml plus M2 was 50% of the dose for the glimepiride tablet and 51% for the intravenous injection. The absolute bioavailability of the tablet formulation was 107% (AUDCglimepiride), 109% (AUDCM1) and 97% (urinary recovery). The tablet formulation of glimepiride is completely bioavailable and was safe and well tolerated in healthy volunteers. © 1994, Walter de Gruyter. All rights reserved.","author":[{"dropping-particle":"","family":"Badian","given":"M.","non-dropping-particle":"","parse-names":false,"suffix":""},{"dropping-particle":"","family":"Lehr","given":"K. H.","non-dropping-particle":"","parse-names":false,"suffix":""},{"dropping-particle":"","family":"Malerczyk","given":"V.","non-dropping-particle":"","parse-names":false,"suffix":""},{"dropping-particle":"","family":"Korn","given":"A.","non-dropping-particle":"","parse-names":false,"suffix":""},{"dropping-particle":"","family":"Waldhäusl","given":"W.","non-dropping-particle":"","parse-names":false,"suffix":""}],"container-title":"Drug Metabolism and Drug Interactions","id":"ITEM-1","issue":"4","issued":{"date-parts":[["1994"]]},"page":"331-340","title":"Absolute Bioavailability of Glimepiride (AMARYL®) after Oral Administration","type":"article-journal","volume":"11"},"uris":["http://www.mendeley.com/documents/?uuid=bbfc2c1b-742f-4609-9e73-b85d8071d035","http://www.mendeley.com/documents/?uuid=0996316a-c246-4355-8827-5b14d6971e3a"]}],"mendeley":{"formattedCitation":"&lt;sup&gt;26&lt;/sup&gt;","plainTextFormattedCitation":"26","previouslyFormattedCitation":"(26)"},"properties":{"noteIndex":0},"schema":"https://github.com/citation-style-language/schema/raw/master/csl-citation.json"}</w:instrText>
            </w:r>
            <w:r w:rsidR="00227D05" w:rsidRPr="00490E09">
              <w:rPr>
                <w:rFonts w:ascii="Times New Roman" w:hAnsi="Times New Roman" w:cs="Times New Roman"/>
                <w:sz w:val="24"/>
                <w:szCs w:val="24"/>
              </w:rPr>
              <w:fldChar w:fldCharType="separate"/>
            </w:r>
            <w:r w:rsidR="00516AC8" w:rsidRPr="00516AC8">
              <w:rPr>
                <w:rFonts w:ascii="Times New Roman" w:hAnsi="Times New Roman" w:cs="Times New Roman"/>
                <w:noProof/>
                <w:sz w:val="24"/>
                <w:szCs w:val="24"/>
                <w:vertAlign w:val="superscript"/>
              </w:rPr>
              <w:t>26</w:t>
            </w:r>
            <w:r w:rsidR="00227D05" w:rsidRPr="00490E09">
              <w:rPr>
                <w:rFonts w:ascii="Times New Roman" w:hAnsi="Times New Roman" w:cs="Times New Roman"/>
                <w:sz w:val="24"/>
                <w:szCs w:val="24"/>
              </w:rPr>
              <w:fldChar w:fldCharType="end"/>
            </w:r>
            <w:r w:rsidRPr="00490E09">
              <w:rPr>
                <w:rFonts w:ascii="Times New Roman" w:hAnsi="Times New Roman" w:cs="Times New Roman"/>
                <w:sz w:val="24"/>
                <w:szCs w:val="24"/>
              </w:rPr>
              <w:t>: (1mg,2mg and 4mg tablets for oral administration)</w:t>
            </w:r>
          </w:p>
        </w:tc>
        <w:tc>
          <w:tcPr>
            <w:tcW w:w="1560" w:type="dxa"/>
          </w:tcPr>
          <w:p w:rsidR="00A97D0D" w:rsidRPr="00490E09" w:rsidRDefault="00A97D0D" w:rsidP="00D70DDC">
            <w:pPr>
              <w:rPr>
                <w:rFonts w:ascii="Times New Roman" w:hAnsi="Times New Roman" w:cs="Times New Roman"/>
                <w:sz w:val="24"/>
                <w:szCs w:val="24"/>
              </w:rPr>
            </w:pPr>
            <w:r w:rsidRPr="00490E09">
              <w:rPr>
                <w:rFonts w:ascii="Times New Roman" w:hAnsi="Times New Roman" w:cs="Times New Roman"/>
                <w:sz w:val="24"/>
                <w:szCs w:val="24"/>
              </w:rPr>
              <w:t>107</w:t>
            </w:r>
          </w:p>
        </w:tc>
        <w:tc>
          <w:tcPr>
            <w:tcW w:w="992" w:type="dxa"/>
          </w:tcPr>
          <w:p w:rsidR="00A97D0D" w:rsidRPr="00490E09" w:rsidRDefault="00A97D0D" w:rsidP="00D70DDC">
            <w:pPr>
              <w:rPr>
                <w:rFonts w:ascii="Times New Roman" w:hAnsi="Times New Roman" w:cs="Times New Roman"/>
                <w:sz w:val="24"/>
                <w:szCs w:val="24"/>
              </w:rPr>
            </w:pPr>
            <w:r w:rsidRPr="00490E09">
              <w:rPr>
                <w:rFonts w:ascii="Times New Roman" w:hAnsi="Times New Roman" w:cs="Times New Roman"/>
                <w:sz w:val="24"/>
                <w:szCs w:val="24"/>
              </w:rPr>
              <w:t>99.5</w:t>
            </w:r>
          </w:p>
        </w:tc>
        <w:tc>
          <w:tcPr>
            <w:tcW w:w="1559" w:type="dxa"/>
          </w:tcPr>
          <w:p w:rsidR="00A97D0D" w:rsidRPr="00490E09" w:rsidRDefault="00A97D0D" w:rsidP="00D70DDC">
            <w:pPr>
              <w:rPr>
                <w:rFonts w:ascii="Times New Roman" w:hAnsi="Times New Roman" w:cs="Times New Roman"/>
                <w:sz w:val="24"/>
                <w:szCs w:val="24"/>
              </w:rPr>
            </w:pPr>
            <w:r w:rsidRPr="00490E09">
              <w:rPr>
                <w:rFonts w:ascii="Times New Roman" w:hAnsi="Times New Roman" w:cs="Times New Roman"/>
                <w:color w:val="000000"/>
                <w:sz w:val="24"/>
                <w:szCs w:val="24"/>
              </w:rPr>
              <w:t>102±48 ng/mL</w:t>
            </w:r>
          </w:p>
        </w:tc>
        <w:tc>
          <w:tcPr>
            <w:tcW w:w="2181" w:type="dxa"/>
          </w:tcPr>
          <w:p w:rsidR="00A97D0D" w:rsidRPr="00490E09" w:rsidRDefault="00A97D0D" w:rsidP="00D70DDC">
            <w:pPr>
              <w:rPr>
                <w:rFonts w:ascii="Times New Roman" w:hAnsi="Times New Roman" w:cs="Times New Roman"/>
                <w:sz w:val="24"/>
                <w:szCs w:val="24"/>
              </w:rPr>
            </w:pPr>
            <w:r w:rsidRPr="00490E09">
              <w:rPr>
                <w:rFonts w:ascii="Times New Roman" w:hAnsi="Times New Roman" w:cs="Times New Roman"/>
                <w:sz w:val="24"/>
                <w:szCs w:val="24"/>
              </w:rPr>
              <w:t>NA</w:t>
            </w:r>
          </w:p>
        </w:tc>
        <w:tc>
          <w:tcPr>
            <w:tcW w:w="1097" w:type="dxa"/>
          </w:tcPr>
          <w:p w:rsidR="00A97D0D" w:rsidRPr="00490E09" w:rsidRDefault="00A97D0D" w:rsidP="00D70DDC">
            <w:pPr>
              <w:rPr>
                <w:rFonts w:ascii="Times New Roman" w:hAnsi="Times New Roman" w:cs="Times New Roman"/>
                <w:sz w:val="24"/>
                <w:szCs w:val="24"/>
              </w:rPr>
            </w:pPr>
            <w:r w:rsidRPr="00490E09">
              <w:rPr>
                <w:rFonts w:ascii="Times New Roman" w:hAnsi="Times New Roman" w:cs="Times New Roman"/>
                <w:color w:val="000000"/>
                <w:sz w:val="24"/>
                <w:szCs w:val="24"/>
              </w:rPr>
              <w:t>47.8 mL/min.</w:t>
            </w:r>
          </w:p>
        </w:tc>
        <w:tc>
          <w:tcPr>
            <w:tcW w:w="933" w:type="dxa"/>
          </w:tcPr>
          <w:p w:rsidR="00A97D0D" w:rsidRPr="00490E09" w:rsidRDefault="00A97D0D" w:rsidP="00D70DDC">
            <w:pPr>
              <w:rPr>
                <w:rFonts w:ascii="Times New Roman" w:hAnsi="Times New Roman" w:cs="Times New Roman"/>
                <w:sz w:val="24"/>
                <w:szCs w:val="24"/>
              </w:rPr>
            </w:pPr>
            <w:r w:rsidRPr="00490E09">
              <w:rPr>
                <w:rFonts w:ascii="Times New Roman" w:hAnsi="Times New Roman" w:cs="Times New Roman"/>
                <w:color w:val="000000"/>
                <w:sz w:val="24"/>
                <w:szCs w:val="24"/>
              </w:rPr>
              <w:t>3.1±1.7 hours</w:t>
            </w:r>
          </w:p>
        </w:tc>
        <w:tc>
          <w:tcPr>
            <w:tcW w:w="1460" w:type="dxa"/>
          </w:tcPr>
          <w:p w:rsidR="00A97D0D" w:rsidRPr="00490E09" w:rsidRDefault="00A97D0D" w:rsidP="00D70DDC">
            <w:pPr>
              <w:rPr>
                <w:rFonts w:ascii="Times New Roman" w:hAnsi="Times New Roman" w:cs="Times New Roman"/>
                <w:sz w:val="24"/>
                <w:szCs w:val="24"/>
              </w:rPr>
            </w:pPr>
            <w:r w:rsidRPr="00490E09">
              <w:rPr>
                <w:rFonts w:ascii="Times New Roman" w:hAnsi="Times New Roman" w:cs="Times New Roman"/>
                <w:sz w:val="24"/>
                <w:szCs w:val="24"/>
              </w:rPr>
              <w:t>CYP2C9 (S)</w:t>
            </w:r>
          </w:p>
        </w:tc>
        <w:tc>
          <w:tcPr>
            <w:tcW w:w="882" w:type="dxa"/>
          </w:tcPr>
          <w:p w:rsidR="00A97D0D" w:rsidRPr="00490E09" w:rsidRDefault="00A97D0D" w:rsidP="00D70DDC">
            <w:pPr>
              <w:rPr>
                <w:rFonts w:ascii="Times New Roman" w:hAnsi="Times New Roman" w:cs="Times New Roman"/>
                <w:sz w:val="24"/>
                <w:szCs w:val="24"/>
              </w:rPr>
            </w:pPr>
            <w:r w:rsidRPr="00490E09">
              <w:rPr>
                <w:rFonts w:ascii="Times New Roman" w:hAnsi="Times New Roman" w:cs="Times New Roman"/>
                <w:sz w:val="24"/>
                <w:szCs w:val="24"/>
              </w:rPr>
              <w:t>NA</w:t>
            </w:r>
          </w:p>
        </w:tc>
      </w:tr>
      <w:tr w:rsidR="00A97D0D" w:rsidRPr="00490E09" w:rsidTr="00834DDA">
        <w:trPr>
          <w:trHeight w:val="260"/>
        </w:trPr>
        <w:tc>
          <w:tcPr>
            <w:tcW w:w="1012" w:type="dxa"/>
            <w:vMerge/>
          </w:tcPr>
          <w:p w:rsidR="00A97D0D" w:rsidRPr="00490E09" w:rsidRDefault="00A97D0D" w:rsidP="00D70DDC">
            <w:pPr>
              <w:tabs>
                <w:tab w:val="left" w:pos="625"/>
              </w:tabs>
              <w:rPr>
                <w:rFonts w:ascii="Times New Roman" w:hAnsi="Times New Roman" w:cs="Times New Roman"/>
                <w:sz w:val="24"/>
                <w:szCs w:val="24"/>
              </w:rPr>
            </w:pPr>
          </w:p>
        </w:tc>
        <w:tc>
          <w:tcPr>
            <w:tcW w:w="2498" w:type="dxa"/>
          </w:tcPr>
          <w:p w:rsidR="00A97D0D" w:rsidRPr="00490E09" w:rsidRDefault="00A97D0D" w:rsidP="00516AC8">
            <w:pPr>
              <w:rPr>
                <w:rFonts w:ascii="Times New Roman" w:hAnsi="Times New Roman" w:cs="Times New Roman"/>
                <w:sz w:val="24"/>
                <w:szCs w:val="24"/>
              </w:rPr>
            </w:pPr>
            <w:r w:rsidRPr="00490E09">
              <w:rPr>
                <w:rFonts w:ascii="Times New Roman" w:hAnsi="Times New Roman" w:cs="Times New Roman"/>
                <w:b/>
                <w:sz w:val="24"/>
                <w:szCs w:val="24"/>
              </w:rPr>
              <w:t>Pioglitazone</w:t>
            </w:r>
            <w:r w:rsidR="00227D05" w:rsidRPr="00490E09">
              <w:rPr>
                <w:rFonts w:ascii="Times New Roman" w:hAnsi="Times New Roman" w:cs="Times New Roman"/>
                <w:b/>
                <w:sz w:val="24"/>
                <w:szCs w:val="24"/>
              </w:rPr>
              <w:fldChar w:fldCharType="begin" w:fldLock="1"/>
            </w:r>
            <w:r w:rsidR="00516AC8">
              <w:rPr>
                <w:rFonts w:ascii="Times New Roman" w:hAnsi="Times New Roman" w:cs="Times New Roman"/>
                <w:b/>
                <w:sz w:val="24"/>
                <w:szCs w:val="24"/>
              </w:rPr>
              <w:instrText>ADDIN CSL_CITATION {"citationItems":[{"id":"ITEM-1","itemData":{"URL":"https://www.accessdata.fda.gov/drugsatfda_docs/label/1999/21073lbl.pdf","author":[{"dropping-particle":"","family":"Accessdata.fda","given":"","non-dropping-particle":"","parse-names":false,"suffix":""}],"id":"ITEM-1","issued":{"date-parts":[["1999"]]},"title":"ACTOS™ (Pioglitazone Hydrochloride) Tablets","type":"webpage"},"uris":["http://www.mendeley.com/documents/?uuid=933b6996-742a-431f-a539-b51336c9800f","http://www.mendeley.com/documents/?uuid=f93784b3-3abd-4715-9201-13b8282fa839"]}],"mendeley":{"formattedCitation":"&lt;sup&gt;27&lt;/sup&gt;","plainTextFormattedCitation":"27","previouslyFormattedCitation":"(27)"},"properties":{"noteIndex":0},"schema":"https://github.com/citation-style-language/schema/raw/master/csl-citation.json"}</w:instrText>
            </w:r>
            <w:r w:rsidR="00227D05" w:rsidRPr="00490E09">
              <w:rPr>
                <w:rFonts w:ascii="Times New Roman" w:hAnsi="Times New Roman" w:cs="Times New Roman"/>
                <w:b/>
                <w:sz w:val="24"/>
                <w:szCs w:val="24"/>
              </w:rPr>
              <w:fldChar w:fldCharType="separate"/>
            </w:r>
            <w:r w:rsidR="00516AC8" w:rsidRPr="00516AC8">
              <w:rPr>
                <w:rFonts w:ascii="Times New Roman" w:hAnsi="Times New Roman" w:cs="Times New Roman"/>
                <w:noProof/>
                <w:sz w:val="24"/>
                <w:szCs w:val="24"/>
                <w:vertAlign w:val="superscript"/>
              </w:rPr>
              <w:t>27</w:t>
            </w:r>
            <w:r w:rsidR="00227D05" w:rsidRPr="00490E09">
              <w:rPr>
                <w:rFonts w:ascii="Times New Roman" w:hAnsi="Times New Roman" w:cs="Times New Roman"/>
                <w:b/>
                <w:sz w:val="24"/>
                <w:szCs w:val="24"/>
              </w:rPr>
              <w:fldChar w:fldCharType="end"/>
            </w:r>
            <w:r w:rsidR="00245191">
              <w:rPr>
                <w:rFonts w:ascii="Times New Roman" w:hAnsi="Times New Roman" w:cs="Times New Roman"/>
                <w:sz w:val="24"/>
                <w:szCs w:val="24"/>
                <w:vertAlign w:val="superscript"/>
              </w:rPr>
              <w:t>,</w:t>
            </w:r>
            <w:bookmarkStart w:id="0" w:name="_GoBack"/>
            <w:bookmarkEnd w:id="0"/>
            <w:r w:rsidR="00227D05" w:rsidRPr="00490E09">
              <w:rPr>
                <w:rFonts w:ascii="Times New Roman" w:hAnsi="Times New Roman" w:cs="Times New Roman"/>
                <w:b/>
                <w:sz w:val="24"/>
                <w:szCs w:val="24"/>
              </w:rPr>
              <w:fldChar w:fldCharType="begin" w:fldLock="1"/>
            </w:r>
            <w:r w:rsidR="00516AC8">
              <w:rPr>
                <w:rFonts w:ascii="Times New Roman" w:hAnsi="Times New Roman" w:cs="Times New Roman"/>
                <w:b/>
                <w:sz w:val="24"/>
                <w:szCs w:val="24"/>
              </w:rPr>
              <w:instrText>ADDIN CSL_CITATION {"citationItems":[{"id":"ITEM-1","itemData":{"abstract":"Hanefeld M. Pharmacokinetics and clinical efficacy of pioglitazone. International journal of clinical practice. Supplement. 2001 Sep(121):19-25.","author":[{"dropping-particle":"","family":"Hanefeld M","given":"","non-dropping-particle":"","parse-names":false,"suffix":""}],"container-title":"International journal of clinical practice","id":"ITEM-1","issued":{"date-parts":[["2001"]]},"page":"19-25","title":"Pharmacokinetics and clinical efficacy of pioglitazone","type":"article-journal","volume":"121"},"uris":["http://www.mendeley.com/documents/?uuid=9b24b44b-969e-421b-9893-26acd737e575","http://www.mendeley.com/documents/?uuid=f375ebe8-3a7f-438f-b797-c7f23690aca7"]}],"mendeley":{"formattedCitation":"&lt;sup&gt;28&lt;/sup&gt;","plainTextFormattedCitation":"28","previouslyFormattedCitation":"(28)"},"properties":{"noteIndex":0},"schema":"https://github.com/citation-style-language/schema/raw/master/csl-citation.json"}</w:instrText>
            </w:r>
            <w:r w:rsidR="00227D05" w:rsidRPr="00490E09">
              <w:rPr>
                <w:rFonts w:ascii="Times New Roman" w:hAnsi="Times New Roman" w:cs="Times New Roman"/>
                <w:b/>
                <w:sz w:val="24"/>
                <w:szCs w:val="24"/>
              </w:rPr>
              <w:fldChar w:fldCharType="separate"/>
            </w:r>
            <w:r w:rsidR="00516AC8" w:rsidRPr="00516AC8">
              <w:rPr>
                <w:rFonts w:ascii="Times New Roman" w:hAnsi="Times New Roman" w:cs="Times New Roman"/>
                <w:noProof/>
                <w:sz w:val="24"/>
                <w:szCs w:val="24"/>
                <w:vertAlign w:val="superscript"/>
              </w:rPr>
              <w:t>28</w:t>
            </w:r>
            <w:r w:rsidR="00227D05" w:rsidRPr="00490E09">
              <w:rPr>
                <w:rFonts w:ascii="Times New Roman" w:hAnsi="Times New Roman" w:cs="Times New Roman"/>
                <w:b/>
                <w:sz w:val="24"/>
                <w:szCs w:val="24"/>
              </w:rPr>
              <w:fldChar w:fldCharType="end"/>
            </w:r>
            <w:r w:rsidRPr="00490E09">
              <w:rPr>
                <w:rFonts w:ascii="Times New Roman" w:hAnsi="Times New Roman" w:cs="Times New Roman"/>
                <w:b/>
                <w:sz w:val="24"/>
                <w:szCs w:val="24"/>
              </w:rPr>
              <w:t>:</w:t>
            </w:r>
            <w:r w:rsidRPr="00490E09">
              <w:rPr>
                <w:rFonts w:ascii="Times New Roman" w:hAnsi="Times New Roman" w:cs="Times New Roman"/>
                <w:sz w:val="24"/>
                <w:szCs w:val="24"/>
              </w:rPr>
              <w:t xml:space="preserve"> (15mg,30mg and 45mg tablets for oral administration)</w:t>
            </w:r>
          </w:p>
        </w:tc>
        <w:tc>
          <w:tcPr>
            <w:tcW w:w="1560" w:type="dxa"/>
          </w:tcPr>
          <w:p w:rsidR="00A97D0D" w:rsidRPr="00490E09" w:rsidRDefault="00A97D0D" w:rsidP="00D70DDC">
            <w:pPr>
              <w:rPr>
                <w:rFonts w:ascii="Times New Roman" w:hAnsi="Times New Roman" w:cs="Times New Roman"/>
                <w:sz w:val="24"/>
                <w:szCs w:val="24"/>
              </w:rPr>
            </w:pPr>
            <w:r w:rsidRPr="00490E09">
              <w:rPr>
                <w:rFonts w:ascii="Times New Roman" w:hAnsi="Times New Roman" w:cs="Times New Roman"/>
                <w:sz w:val="24"/>
                <w:szCs w:val="24"/>
              </w:rPr>
              <w:t>83</w:t>
            </w:r>
          </w:p>
        </w:tc>
        <w:tc>
          <w:tcPr>
            <w:tcW w:w="992" w:type="dxa"/>
          </w:tcPr>
          <w:p w:rsidR="00A97D0D" w:rsidRPr="00490E09" w:rsidRDefault="00A97D0D" w:rsidP="00D70DDC">
            <w:pPr>
              <w:rPr>
                <w:rFonts w:ascii="Times New Roman" w:hAnsi="Times New Roman" w:cs="Times New Roman"/>
                <w:sz w:val="24"/>
                <w:szCs w:val="24"/>
              </w:rPr>
            </w:pPr>
            <w:r w:rsidRPr="00490E09">
              <w:rPr>
                <w:rFonts w:ascii="Times New Roman" w:hAnsi="Times New Roman" w:cs="Times New Roman"/>
                <w:sz w:val="24"/>
                <w:szCs w:val="24"/>
              </w:rPr>
              <w:t>99</w:t>
            </w:r>
          </w:p>
        </w:tc>
        <w:tc>
          <w:tcPr>
            <w:tcW w:w="1559" w:type="dxa"/>
          </w:tcPr>
          <w:p w:rsidR="00A97D0D" w:rsidRPr="00490E09" w:rsidRDefault="00A97D0D" w:rsidP="00D70DDC">
            <w:pPr>
              <w:rPr>
                <w:rFonts w:ascii="Times New Roman" w:hAnsi="Times New Roman" w:cs="Times New Roman"/>
                <w:sz w:val="24"/>
                <w:szCs w:val="24"/>
              </w:rPr>
            </w:pPr>
            <w:r w:rsidRPr="00490E09">
              <w:rPr>
                <w:rFonts w:ascii="Times New Roman" w:hAnsi="Times New Roman" w:cs="Times New Roman"/>
                <w:color w:val="222222"/>
                <w:sz w:val="24"/>
                <w:szCs w:val="24"/>
                <w:shd w:val="clear" w:color="auto" w:fill="FFFFFF"/>
              </w:rPr>
              <w:t>11.40±0.7 µg/ml</w:t>
            </w:r>
          </w:p>
        </w:tc>
        <w:tc>
          <w:tcPr>
            <w:tcW w:w="2181" w:type="dxa"/>
          </w:tcPr>
          <w:p w:rsidR="00A97D0D" w:rsidRPr="00490E09" w:rsidRDefault="00A97D0D" w:rsidP="00D70DDC">
            <w:pPr>
              <w:rPr>
                <w:rFonts w:ascii="Times New Roman" w:hAnsi="Times New Roman" w:cs="Times New Roman"/>
                <w:sz w:val="24"/>
                <w:szCs w:val="24"/>
              </w:rPr>
            </w:pPr>
            <w:r w:rsidRPr="00490E09">
              <w:rPr>
                <w:rFonts w:ascii="Times New Roman" w:hAnsi="Times New Roman" w:cs="Times New Roman"/>
                <w:sz w:val="24"/>
                <w:szCs w:val="24"/>
              </w:rPr>
              <w:t>NA</w:t>
            </w:r>
          </w:p>
        </w:tc>
        <w:tc>
          <w:tcPr>
            <w:tcW w:w="1097" w:type="dxa"/>
          </w:tcPr>
          <w:p w:rsidR="00A97D0D" w:rsidRPr="00490E09" w:rsidRDefault="00A97D0D" w:rsidP="00D70DDC">
            <w:pPr>
              <w:rPr>
                <w:rFonts w:ascii="Times New Roman" w:hAnsi="Times New Roman" w:cs="Times New Roman"/>
                <w:sz w:val="24"/>
                <w:szCs w:val="24"/>
              </w:rPr>
            </w:pPr>
            <w:r w:rsidRPr="00490E09">
              <w:rPr>
                <w:rFonts w:ascii="Times New Roman" w:hAnsi="Times New Roman" w:cs="Times New Roman"/>
                <w:sz w:val="24"/>
                <w:szCs w:val="24"/>
              </w:rPr>
              <w:t>5-7 L/hr</w:t>
            </w:r>
          </w:p>
        </w:tc>
        <w:tc>
          <w:tcPr>
            <w:tcW w:w="933" w:type="dxa"/>
          </w:tcPr>
          <w:p w:rsidR="00A97D0D" w:rsidRPr="00490E09" w:rsidRDefault="00A97D0D" w:rsidP="00D70DDC">
            <w:pPr>
              <w:rPr>
                <w:rFonts w:ascii="Times New Roman" w:hAnsi="Times New Roman" w:cs="Times New Roman"/>
                <w:sz w:val="24"/>
                <w:szCs w:val="24"/>
              </w:rPr>
            </w:pPr>
            <w:r w:rsidRPr="00490E09">
              <w:rPr>
                <w:rFonts w:ascii="Times New Roman" w:hAnsi="Times New Roman" w:cs="Times New Roman"/>
                <w:sz w:val="24"/>
                <w:szCs w:val="24"/>
              </w:rPr>
              <w:t>3-7 hr</w:t>
            </w:r>
          </w:p>
        </w:tc>
        <w:tc>
          <w:tcPr>
            <w:tcW w:w="1460" w:type="dxa"/>
          </w:tcPr>
          <w:p w:rsidR="00A97D0D" w:rsidRPr="00490E09" w:rsidRDefault="00A97D0D" w:rsidP="00D70DDC">
            <w:pPr>
              <w:rPr>
                <w:rFonts w:ascii="Times New Roman" w:hAnsi="Times New Roman" w:cs="Times New Roman"/>
                <w:sz w:val="24"/>
                <w:szCs w:val="24"/>
              </w:rPr>
            </w:pPr>
            <w:r w:rsidRPr="00490E09">
              <w:rPr>
                <w:rFonts w:ascii="Times New Roman" w:hAnsi="Times New Roman" w:cs="Times New Roman"/>
                <w:sz w:val="24"/>
                <w:szCs w:val="24"/>
              </w:rPr>
              <w:t>CYP2C8 (SINH)/CYP3A4 (SINH)</w:t>
            </w:r>
          </w:p>
        </w:tc>
        <w:tc>
          <w:tcPr>
            <w:tcW w:w="882" w:type="dxa"/>
          </w:tcPr>
          <w:p w:rsidR="00A97D0D" w:rsidRPr="00490E09" w:rsidRDefault="00A97D0D" w:rsidP="00D70DDC">
            <w:pPr>
              <w:rPr>
                <w:rFonts w:ascii="Times New Roman" w:hAnsi="Times New Roman" w:cs="Times New Roman"/>
                <w:sz w:val="24"/>
                <w:szCs w:val="24"/>
              </w:rPr>
            </w:pPr>
            <w:r w:rsidRPr="00490E09">
              <w:rPr>
                <w:rFonts w:ascii="Times New Roman" w:hAnsi="Times New Roman" w:cs="Times New Roman"/>
                <w:sz w:val="24"/>
                <w:szCs w:val="24"/>
              </w:rPr>
              <w:t>9.38 µM /12.3</w:t>
            </w:r>
          </w:p>
          <w:p w:rsidR="00A97D0D" w:rsidRPr="00490E09" w:rsidRDefault="00A97D0D" w:rsidP="00D70DDC">
            <w:pPr>
              <w:rPr>
                <w:rFonts w:ascii="Times New Roman" w:hAnsi="Times New Roman" w:cs="Times New Roman"/>
                <w:sz w:val="24"/>
                <w:szCs w:val="24"/>
              </w:rPr>
            </w:pPr>
            <w:r w:rsidRPr="00490E09">
              <w:rPr>
                <w:rFonts w:ascii="Times New Roman" w:hAnsi="Times New Roman" w:cs="Times New Roman"/>
                <w:sz w:val="24"/>
                <w:szCs w:val="24"/>
              </w:rPr>
              <w:t>µM</w:t>
            </w:r>
          </w:p>
        </w:tc>
      </w:tr>
    </w:tbl>
    <w:p w:rsidR="00B55EC6" w:rsidRPr="00490E09" w:rsidRDefault="00A97D0D" w:rsidP="0045307A">
      <w:pPr>
        <w:jc w:val="both"/>
        <w:rPr>
          <w:rFonts w:ascii="Times New Roman" w:hAnsi="Times New Roman" w:cs="Times New Roman"/>
          <w:sz w:val="24"/>
          <w:szCs w:val="24"/>
        </w:rPr>
      </w:pPr>
      <w:r w:rsidRPr="00490E09">
        <w:rPr>
          <w:rFonts w:ascii="Times New Roman" w:hAnsi="Times New Roman" w:cs="Times New Roman"/>
          <w:sz w:val="24"/>
          <w:szCs w:val="24"/>
        </w:rPr>
        <w:t>Note: This is representative list for the drugs that are being used in associated comorbidities. (Here, S = Substrate, INH = Inhibitor, SINH = Substrate Inhibitor and NA = Not Applicable)</w:t>
      </w:r>
    </w:p>
    <w:p w:rsidR="00834DDA" w:rsidRDefault="00834DDA">
      <w:pPr>
        <w:rPr>
          <w:rFonts w:ascii="Times New Roman" w:hAnsi="Times New Roman" w:cs="Times New Roman"/>
          <w:b/>
          <w:bCs/>
          <w:sz w:val="24"/>
          <w:szCs w:val="24"/>
        </w:rPr>
      </w:pPr>
      <w:r>
        <w:rPr>
          <w:rFonts w:ascii="Times New Roman" w:hAnsi="Times New Roman" w:cs="Times New Roman"/>
          <w:b/>
          <w:bCs/>
          <w:sz w:val="24"/>
          <w:szCs w:val="24"/>
        </w:rPr>
        <w:br w:type="page"/>
      </w:r>
    </w:p>
    <w:p w:rsidR="00834DDA" w:rsidRDefault="00834DDA" w:rsidP="00F344CB">
      <w:pPr>
        <w:jc w:val="both"/>
        <w:rPr>
          <w:rFonts w:ascii="Times New Roman" w:hAnsi="Times New Roman" w:cs="Times New Roman"/>
          <w:b/>
          <w:bCs/>
          <w:sz w:val="24"/>
          <w:szCs w:val="24"/>
        </w:rPr>
        <w:sectPr w:rsidR="00834DDA" w:rsidSect="0081240C">
          <w:pgSz w:w="16838" w:h="11906" w:orient="landscape"/>
          <w:pgMar w:top="1440" w:right="1440" w:bottom="1440" w:left="1440" w:header="709" w:footer="709" w:gutter="0"/>
          <w:cols w:space="708"/>
          <w:docGrid w:linePitch="360"/>
        </w:sectPr>
      </w:pPr>
    </w:p>
    <w:p w:rsidR="001D64B9" w:rsidRPr="00490E09" w:rsidRDefault="00B55EC6" w:rsidP="00F344CB">
      <w:pPr>
        <w:jc w:val="both"/>
        <w:rPr>
          <w:rFonts w:ascii="Times New Roman" w:hAnsi="Times New Roman" w:cs="Times New Roman"/>
          <w:sz w:val="24"/>
          <w:szCs w:val="24"/>
        </w:rPr>
      </w:pPr>
      <w:r w:rsidRPr="00490E09">
        <w:rPr>
          <w:rFonts w:ascii="Times New Roman" w:hAnsi="Times New Roman" w:cs="Times New Roman"/>
          <w:b/>
          <w:bCs/>
          <w:sz w:val="24"/>
          <w:szCs w:val="24"/>
        </w:rPr>
        <w:lastRenderedPageBreak/>
        <w:t>References</w:t>
      </w:r>
      <w:r w:rsidRPr="00490E09">
        <w:rPr>
          <w:rFonts w:ascii="Times New Roman" w:hAnsi="Times New Roman" w:cs="Times New Roman"/>
          <w:sz w:val="24"/>
          <w:szCs w:val="24"/>
        </w:rPr>
        <w:t>:</w:t>
      </w:r>
    </w:p>
    <w:p w:rsidR="00516AC8" w:rsidRPr="00516AC8" w:rsidRDefault="00227D05" w:rsidP="00516AC8">
      <w:pPr>
        <w:widowControl w:val="0"/>
        <w:autoSpaceDE w:val="0"/>
        <w:autoSpaceDN w:val="0"/>
        <w:adjustRightInd w:val="0"/>
        <w:spacing w:line="240" w:lineRule="auto"/>
        <w:ind w:left="640" w:hanging="640"/>
        <w:rPr>
          <w:rFonts w:ascii="Times New Roman" w:hAnsi="Times New Roman" w:cs="Times New Roman"/>
          <w:noProof/>
          <w:sz w:val="24"/>
          <w:szCs w:val="24"/>
        </w:rPr>
      </w:pPr>
      <w:r w:rsidRPr="00490E09">
        <w:rPr>
          <w:rFonts w:ascii="Times New Roman" w:hAnsi="Times New Roman" w:cs="Times New Roman"/>
          <w:sz w:val="24"/>
          <w:szCs w:val="24"/>
        </w:rPr>
        <w:fldChar w:fldCharType="begin" w:fldLock="1"/>
      </w:r>
      <w:r w:rsidR="00B55EC6" w:rsidRPr="00490E09">
        <w:rPr>
          <w:rFonts w:ascii="Times New Roman" w:hAnsi="Times New Roman" w:cs="Times New Roman"/>
          <w:sz w:val="24"/>
          <w:szCs w:val="24"/>
        </w:rPr>
        <w:instrText xml:space="preserve">ADDIN Mendeley Bibliography CSL_BIBLIOGRAPHY </w:instrText>
      </w:r>
      <w:r w:rsidRPr="00490E09">
        <w:rPr>
          <w:rFonts w:ascii="Times New Roman" w:hAnsi="Times New Roman" w:cs="Times New Roman"/>
          <w:sz w:val="24"/>
          <w:szCs w:val="24"/>
        </w:rPr>
        <w:fldChar w:fldCharType="separate"/>
      </w:r>
      <w:r w:rsidR="00516AC8" w:rsidRPr="00516AC8">
        <w:rPr>
          <w:rFonts w:ascii="Times New Roman" w:hAnsi="Times New Roman" w:cs="Times New Roman"/>
          <w:noProof/>
          <w:sz w:val="24"/>
          <w:szCs w:val="24"/>
        </w:rPr>
        <w:t>1.</w:t>
      </w:r>
      <w:r w:rsidR="00516AC8" w:rsidRPr="00516AC8">
        <w:rPr>
          <w:rFonts w:ascii="Times New Roman" w:hAnsi="Times New Roman" w:cs="Times New Roman"/>
          <w:noProof/>
          <w:sz w:val="24"/>
          <w:szCs w:val="24"/>
        </w:rPr>
        <w:tab/>
        <w:t xml:space="preserve">McCreary, E. K. and J. M. P. Coronavirus Disease 2019 Treatment: A Review of Early and Emerging Options. </w:t>
      </w:r>
      <w:r w:rsidR="00516AC8" w:rsidRPr="00516AC8">
        <w:rPr>
          <w:rFonts w:ascii="Times New Roman" w:hAnsi="Times New Roman" w:cs="Times New Roman"/>
          <w:i/>
          <w:iCs/>
          <w:noProof/>
          <w:sz w:val="24"/>
          <w:szCs w:val="24"/>
        </w:rPr>
        <w:t>Open Forum Infect. Dis.</w:t>
      </w:r>
      <w:r w:rsidR="00516AC8" w:rsidRPr="00516AC8">
        <w:rPr>
          <w:rFonts w:ascii="Times New Roman" w:hAnsi="Times New Roman" w:cs="Times New Roman"/>
          <w:noProof/>
          <w:sz w:val="24"/>
          <w:szCs w:val="24"/>
        </w:rPr>
        <w:t xml:space="preserve"> (2020).</w:t>
      </w:r>
    </w:p>
    <w:p w:rsidR="00516AC8" w:rsidRPr="00516AC8" w:rsidRDefault="00516AC8" w:rsidP="00516AC8">
      <w:pPr>
        <w:widowControl w:val="0"/>
        <w:autoSpaceDE w:val="0"/>
        <w:autoSpaceDN w:val="0"/>
        <w:adjustRightInd w:val="0"/>
        <w:spacing w:line="240" w:lineRule="auto"/>
        <w:ind w:left="640" w:hanging="640"/>
        <w:rPr>
          <w:rFonts w:ascii="Times New Roman" w:hAnsi="Times New Roman" w:cs="Times New Roman"/>
          <w:noProof/>
          <w:sz w:val="24"/>
          <w:szCs w:val="24"/>
        </w:rPr>
      </w:pPr>
      <w:r w:rsidRPr="00516AC8">
        <w:rPr>
          <w:rFonts w:ascii="Times New Roman" w:hAnsi="Times New Roman" w:cs="Times New Roman"/>
          <w:noProof/>
          <w:sz w:val="24"/>
          <w:szCs w:val="24"/>
        </w:rPr>
        <w:t>2.</w:t>
      </w:r>
      <w:r w:rsidRPr="00516AC8">
        <w:rPr>
          <w:rFonts w:ascii="Times New Roman" w:hAnsi="Times New Roman" w:cs="Times New Roman"/>
          <w:noProof/>
          <w:sz w:val="24"/>
          <w:szCs w:val="24"/>
        </w:rPr>
        <w:tab/>
        <w:t xml:space="preserve">Grein, J.,  et al. Compassionate Use of Remdesivir for Patients with Severe Covid-19. </w:t>
      </w:r>
      <w:r w:rsidRPr="00516AC8">
        <w:rPr>
          <w:rFonts w:ascii="Times New Roman" w:hAnsi="Times New Roman" w:cs="Times New Roman"/>
          <w:i/>
          <w:iCs/>
          <w:noProof/>
          <w:sz w:val="24"/>
          <w:szCs w:val="24"/>
        </w:rPr>
        <w:t>N. Engl. J. Med.</w:t>
      </w:r>
      <w:r w:rsidRPr="00516AC8">
        <w:rPr>
          <w:rFonts w:ascii="Times New Roman" w:hAnsi="Times New Roman" w:cs="Times New Roman"/>
          <w:noProof/>
          <w:sz w:val="24"/>
          <w:szCs w:val="24"/>
        </w:rPr>
        <w:t xml:space="preserve"> (2020).</w:t>
      </w:r>
    </w:p>
    <w:p w:rsidR="00516AC8" w:rsidRPr="00516AC8" w:rsidRDefault="00516AC8" w:rsidP="00516AC8">
      <w:pPr>
        <w:widowControl w:val="0"/>
        <w:autoSpaceDE w:val="0"/>
        <w:autoSpaceDN w:val="0"/>
        <w:adjustRightInd w:val="0"/>
        <w:spacing w:line="240" w:lineRule="auto"/>
        <w:ind w:left="640" w:hanging="640"/>
        <w:rPr>
          <w:rFonts w:ascii="Times New Roman" w:hAnsi="Times New Roman" w:cs="Times New Roman"/>
          <w:noProof/>
          <w:sz w:val="24"/>
          <w:szCs w:val="24"/>
        </w:rPr>
      </w:pPr>
      <w:r w:rsidRPr="00516AC8">
        <w:rPr>
          <w:rFonts w:ascii="Times New Roman" w:hAnsi="Times New Roman" w:cs="Times New Roman"/>
          <w:noProof/>
          <w:sz w:val="24"/>
          <w:szCs w:val="24"/>
        </w:rPr>
        <w:t>3.</w:t>
      </w:r>
      <w:r w:rsidRPr="00516AC8">
        <w:rPr>
          <w:rFonts w:ascii="Times New Roman" w:hAnsi="Times New Roman" w:cs="Times New Roman"/>
          <w:noProof/>
          <w:sz w:val="24"/>
          <w:szCs w:val="24"/>
        </w:rPr>
        <w:tab/>
        <w:t xml:space="preserve">Summary on compassionate use Remdesivir Gilead International Nonproprietary Name : remdesivir. </w:t>
      </w:r>
      <w:r w:rsidRPr="00516AC8">
        <w:rPr>
          <w:rFonts w:ascii="Times New Roman" w:hAnsi="Times New Roman" w:cs="Times New Roman"/>
          <w:i/>
          <w:iCs/>
          <w:noProof/>
          <w:sz w:val="24"/>
          <w:szCs w:val="24"/>
        </w:rPr>
        <w:t>Eur. Med. Agency</w:t>
      </w:r>
      <w:r w:rsidRPr="00516AC8">
        <w:rPr>
          <w:rFonts w:ascii="Times New Roman" w:hAnsi="Times New Roman" w:cs="Times New Roman"/>
          <w:b/>
          <w:bCs/>
          <w:noProof/>
          <w:sz w:val="24"/>
          <w:szCs w:val="24"/>
        </w:rPr>
        <w:t>31</w:t>
      </w:r>
      <w:r w:rsidRPr="00516AC8">
        <w:rPr>
          <w:rFonts w:ascii="Times New Roman" w:hAnsi="Times New Roman" w:cs="Times New Roman"/>
          <w:noProof/>
          <w:sz w:val="24"/>
          <w:szCs w:val="24"/>
        </w:rPr>
        <w:t>, 41 (2020).</w:t>
      </w:r>
    </w:p>
    <w:p w:rsidR="00516AC8" w:rsidRPr="00516AC8" w:rsidRDefault="00516AC8" w:rsidP="00516AC8">
      <w:pPr>
        <w:widowControl w:val="0"/>
        <w:autoSpaceDE w:val="0"/>
        <w:autoSpaceDN w:val="0"/>
        <w:adjustRightInd w:val="0"/>
        <w:spacing w:line="240" w:lineRule="auto"/>
        <w:ind w:left="640" w:hanging="640"/>
        <w:rPr>
          <w:rFonts w:ascii="Times New Roman" w:hAnsi="Times New Roman" w:cs="Times New Roman"/>
          <w:noProof/>
          <w:sz w:val="24"/>
          <w:szCs w:val="24"/>
        </w:rPr>
      </w:pPr>
      <w:r w:rsidRPr="00516AC8">
        <w:rPr>
          <w:rFonts w:ascii="Times New Roman" w:hAnsi="Times New Roman" w:cs="Times New Roman"/>
          <w:noProof/>
          <w:sz w:val="24"/>
          <w:szCs w:val="24"/>
        </w:rPr>
        <w:t>4.</w:t>
      </w:r>
      <w:r w:rsidRPr="00516AC8">
        <w:rPr>
          <w:rFonts w:ascii="Times New Roman" w:hAnsi="Times New Roman" w:cs="Times New Roman"/>
          <w:noProof/>
          <w:sz w:val="24"/>
          <w:szCs w:val="24"/>
        </w:rPr>
        <w:tab/>
        <w:t xml:space="preserve">Thummel, K.E., D.D. Shen,  and N. I. </w:t>
      </w:r>
      <w:r w:rsidRPr="00516AC8">
        <w:rPr>
          <w:rFonts w:ascii="Times New Roman" w:hAnsi="Times New Roman" w:cs="Times New Roman"/>
          <w:i/>
          <w:iCs/>
          <w:noProof/>
          <w:sz w:val="24"/>
          <w:szCs w:val="24"/>
        </w:rPr>
        <w:t>Design and optimization of dosage regimens: pharmacokinetic data, in Goodman and Gilman’s the pharmacological basis of therapeutics</w:t>
      </w:r>
      <w:r w:rsidRPr="00516AC8">
        <w:rPr>
          <w:rFonts w:ascii="Times New Roman" w:hAnsi="Times New Roman" w:cs="Times New Roman"/>
          <w:noProof/>
          <w:sz w:val="24"/>
          <w:szCs w:val="24"/>
        </w:rPr>
        <w:t>. (McGraw Hil, 2018).</w:t>
      </w:r>
    </w:p>
    <w:p w:rsidR="00516AC8" w:rsidRPr="00516AC8" w:rsidRDefault="00516AC8" w:rsidP="00516AC8">
      <w:pPr>
        <w:widowControl w:val="0"/>
        <w:autoSpaceDE w:val="0"/>
        <w:autoSpaceDN w:val="0"/>
        <w:adjustRightInd w:val="0"/>
        <w:spacing w:line="240" w:lineRule="auto"/>
        <w:ind w:left="640" w:hanging="640"/>
        <w:rPr>
          <w:rFonts w:ascii="Times New Roman" w:hAnsi="Times New Roman" w:cs="Times New Roman"/>
          <w:noProof/>
          <w:sz w:val="24"/>
          <w:szCs w:val="24"/>
        </w:rPr>
      </w:pPr>
      <w:r w:rsidRPr="00516AC8">
        <w:rPr>
          <w:rFonts w:ascii="Times New Roman" w:hAnsi="Times New Roman" w:cs="Times New Roman"/>
          <w:noProof/>
          <w:sz w:val="24"/>
          <w:szCs w:val="24"/>
        </w:rPr>
        <w:t>5.</w:t>
      </w:r>
      <w:r w:rsidRPr="00516AC8">
        <w:rPr>
          <w:rFonts w:ascii="Times New Roman" w:hAnsi="Times New Roman" w:cs="Times New Roman"/>
          <w:noProof/>
          <w:sz w:val="24"/>
          <w:szCs w:val="24"/>
        </w:rPr>
        <w:tab/>
        <w:t xml:space="preserve">Projean, D. </w:t>
      </w:r>
      <w:r w:rsidRPr="00516AC8">
        <w:rPr>
          <w:rFonts w:ascii="Times New Roman" w:hAnsi="Times New Roman" w:cs="Times New Roman"/>
          <w:i/>
          <w:iCs/>
          <w:noProof/>
          <w:sz w:val="24"/>
          <w:szCs w:val="24"/>
        </w:rPr>
        <w:t>et al.</w:t>
      </w:r>
      <w:r w:rsidRPr="00516AC8">
        <w:rPr>
          <w:rFonts w:ascii="Times New Roman" w:hAnsi="Times New Roman" w:cs="Times New Roman"/>
          <w:noProof/>
          <w:sz w:val="24"/>
          <w:szCs w:val="24"/>
        </w:rPr>
        <w:t xml:space="preserve"> In vitro metabolism of chloroquine: Identification of CYP2C8, CYP3A4, and CYP2D6 as the main isoforms catalyzing N-desethylchloroquine formation. </w:t>
      </w:r>
      <w:r w:rsidRPr="00516AC8">
        <w:rPr>
          <w:rFonts w:ascii="Times New Roman" w:hAnsi="Times New Roman" w:cs="Times New Roman"/>
          <w:i/>
          <w:iCs/>
          <w:noProof/>
          <w:sz w:val="24"/>
          <w:szCs w:val="24"/>
        </w:rPr>
        <w:t>Drug Metab. Dispos.</w:t>
      </w:r>
      <w:r w:rsidRPr="00516AC8">
        <w:rPr>
          <w:rFonts w:ascii="Times New Roman" w:hAnsi="Times New Roman" w:cs="Times New Roman"/>
          <w:b/>
          <w:bCs/>
          <w:noProof/>
          <w:sz w:val="24"/>
          <w:szCs w:val="24"/>
        </w:rPr>
        <w:t>31</w:t>
      </w:r>
      <w:r w:rsidRPr="00516AC8">
        <w:rPr>
          <w:rFonts w:ascii="Times New Roman" w:hAnsi="Times New Roman" w:cs="Times New Roman"/>
          <w:noProof/>
          <w:sz w:val="24"/>
          <w:szCs w:val="24"/>
        </w:rPr>
        <w:t>, 748–754 (2003).</w:t>
      </w:r>
    </w:p>
    <w:p w:rsidR="00516AC8" w:rsidRPr="00516AC8" w:rsidRDefault="00516AC8" w:rsidP="00516AC8">
      <w:pPr>
        <w:widowControl w:val="0"/>
        <w:autoSpaceDE w:val="0"/>
        <w:autoSpaceDN w:val="0"/>
        <w:adjustRightInd w:val="0"/>
        <w:spacing w:line="240" w:lineRule="auto"/>
        <w:ind w:left="640" w:hanging="640"/>
        <w:rPr>
          <w:rFonts w:ascii="Times New Roman" w:hAnsi="Times New Roman" w:cs="Times New Roman"/>
          <w:noProof/>
          <w:sz w:val="24"/>
          <w:szCs w:val="24"/>
        </w:rPr>
      </w:pPr>
      <w:r w:rsidRPr="00516AC8">
        <w:rPr>
          <w:rFonts w:ascii="Times New Roman" w:hAnsi="Times New Roman" w:cs="Times New Roman"/>
          <w:noProof/>
          <w:sz w:val="24"/>
          <w:szCs w:val="24"/>
        </w:rPr>
        <w:t>6.</w:t>
      </w:r>
      <w:r w:rsidRPr="00516AC8">
        <w:rPr>
          <w:rFonts w:ascii="Times New Roman" w:hAnsi="Times New Roman" w:cs="Times New Roman"/>
          <w:noProof/>
          <w:sz w:val="24"/>
          <w:szCs w:val="24"/>
        </w:rPr>
        <w:tab/>
        <w:t xml:space="preserve">Breilh, D.,  et al. Virological, intracellular and plasma pharmacological parameters predicting response to lopinavir/ritonavir (KALEPHAR study). </w:t>
      </w:r>
      <w:r w:rsidRPr="00516AC8">
        <w:rPr>
          <w:rFonts w:ascii="Times New Roman" w:hAnsi="Times New Roman" w:cs="Times New Roman"/>
          <w:i/>
          <w:iCs/>
          <w:noProof/>
          <w:sz w:val="24"/>
          <w:szCs w:val="24"/>
        </w:rPr>
        <w:t>Aids</w:t>
      </w:r>
      <w:r w:rsidRPr="00516AC8">
        <w:rPr>
          <w:rFonts w:ascii="Times New Roman" w:hAnsi="Times New Roman" w:cs="Times New Roman"/>
          <w:b/>
          <w:bCs/>
          <w:noProof/>
          <w:sz w:val="24"/>
          <w:szCs w:val="24"/>
        </w:rPr>
        <w:t>18</w:t>
      </w:r>
      <w:r w:rsidRPr="00516AC8">
        <w:rPr>
          <w:rFonts w:ascii="Times New Roman" w:hAnsi="Times New Roman" w:cs="Times New Roman"/>
          <w:noProof/>
          <w:sz w:val="24"/>
          <w:szCs w:val="24"/>
        </w:rPr>
        <w:t>, 1305–1310</w:t>
      </w:r>
    </w:p>
    <w:p w:rsidR="00516AC8" w:rsidRPr="00516AC8" w:rsidRDefault="00516AC8" w:rsidP="00516AC8">
      <w:pPr>
        <w:widowControl w:val="0"/>
        <w:autoSpaceDE w:val="0"/>
        <w:autoSpaceDN w:val="0"/>
        <w:adjustRightInd w:val="0"/>
        <w:spacing w:line="240" w:lineRule="auto"/>
        <w:ind w:left="640" w:hanging="640"/>
        <w:rPr>
          <w:rFonts w:ascii="Times New Roman" w:hAnsi="Times New Roman" w:cs="Times New Roman"/>
          <w:noProof/>
          <w:sz w:val="24"/>
          <w:szCs w:val="24"/>
        </w:rPr>
      </w:pPr>
      <w:r w:rsidRPr="00516AC8">
        <w:rPr>
          <w:rFonts w:ascii="Times New Roman" w:hAnsi="Times New Roman" w:cs="Times New Roman"/>
          <w:noProof/>
          <w:sz w:val="24"/>
          <w:szCs w:val="24"/>
        </w:rPr>
        <w:t>7.</w:t>
      </w:r>
      <w:r w:rsidRPr="00516AC8">
        <w:rPr>
          <w:rFonts w:ascii="Times New Roman" w:hAnsi="Times New Roman" w:cs="Times New Roman"/>
          <w:noProof/>
          <w:sz w:val="24"/>
          <w:szCs w:val="24"/>
        </w:rPr>
        <w:tab/>
        <w:t xml:space="preserve">Chandwani, A. and J. S. Lopinavir/ritonavir in the treatment of HIV-1 infection: a review. </w:t>
      </w:r>
      <w:r w:rsidRPr="00516AC8">
        <w:rPr>
          <w:rFonts w:ascii="Times New Roman" w:hAnsi="Times New Roman" w:cs="Times New Roman"/>
          <w:i/>
          <w:iCs/>
          <w:noProof/>
          <w:sz w:val="24"/>
          <w:szCs w:val="24"/>
        </w:rPr>
        <w:t>Ther. Clin. Risk Manag.</w:t>
      </w:r>
      <w:r w:rsidRPr="00516AC8">
        <w:rPr>
          <w:rFonts w:ascii="Times New Roman" w:hAnsi="Times New Roman" w:cs="Times New Roman"/>
          <w:b/>
          <w:bCs/>
          <w:noProof/>
          <w:sz w:val="24"/>
          <w:szCs w:val="24"/>
        </w:rPr>
        <w:t>4</w:t>
      </w:r>
      <w:r w:rsidRPr="00516AC8">
        <w:rPr>
          <w:rFonts w:ascii="Times New Roman" w:hAnsi="Times New Roman" w:cs="Times New Roman"/>
          <w:noProof/>
          <w:sz w:val="24"/>
          <w:szCs w:val="24"/>
        </w:rPr>
        <w:t>, 1023 (2008).</w:t>
      </w:r>
    </w:p>
    <w:p w:rsidR="00516AC8" w:rsidRPr="00516AC8" w:rsidRDefault="00516AC8" w:rsidP="00516AC8">
      <w:pPr>
        <w:widowControl w:val="0"/>
        <w:autoSpaceDE w:val="0"/>
        <w:autoSpaceDN w:val="0"/>
        <w:adjustRightInd w:val="0"/>
        <w:spacing w:line="240" w:lineRule="auto"/>
        <w:ind w:left="640" w:hanging="640"/>
        <w:rPr>
          <w:rFonts w:ascii="Times New Roman" w:hAnsi="Times New Roman" w:cs="Times New Roman"/>
          <w:noProof/>
          <w:sz w:val="24"/>
          <w:szCs w:val="24"/>
        </w:rPr>
      </w:pPr>
      <w:r w:rsidRPr="00516AC8">
        <w:rPr>
          <w:rFonts w:ascii="Times New Roman" w:hAnsi="Times New Roman" w:cs="Times New Roman"/>
          <w:noProof/>
          <w:sz w:val="24"/>
          <w:szCs w:val="24"/>
        </w:rPr>
        <w:t>8.</w:t>
      </w:r>
      <w:r w:rsidRPr="00516AC8">
        <w:rPr>
          <w:rFonts w:ascii="Times New Roman" w:hAnsi="Times New Roman" w:cs="Times New Roman"/>
          <w:noProof/>
          <w:sz w:val="24"/>
          <w:szCs w:val="24"/>
        </w:rPr>
        <w:tab/>
        <w:t xml:space="preserve">Jackson, A.,  et al. Pharmacokinetics of plasma lopinavir/ritonavir following the administration of 400/100 mg, 200/150 mg and 200/50 mg twice daily in HIV-negative volunteers. </w:t>
      </w:r>
      <w:r w:rsidRPr="00516AC8">
        <w:rPr>
          <w:rFonts w:ascii="Times New Roman" w:hAnsi="Times New Roman" w:cs="Times New Roman"/>
          <w:i/>
          <w:iCs/>
          <w:noProof/>
          <w:sz w:val="24"/>
          <w:szCs w:val="24"/>
        </w:rPr>
        <w:t>J. Antimicrob. Chemother.</w:t>
      </w:r>
      <w:r w:rsidRPr="00516AC8">
        <w:rPr>
          <w:rFonts w:ascii="Times New Roman" w:hAnsi="Times New Roman" w:cs="Times New Roman"/>
          <w:b/>
          <w:bCs/>
          <w:noProof/>
          <w:sz w:val="24"/>
          <w:szCs w:val="24"/>
        </w:rPr>
        <w:t>66</w:t>
      </w:r>
      <w:r w:rsidRPr="00516AC8">
        <w:rPr>
          <w:rFonts w:ascii="Times New Roman" w:hAnsi="Times New Roman" w:cs="Times New Roman"/>
          <w:noProof/>
          <w:sz w:val="24"/>
          <w:szCs w:val="24"/>
        </w:rPr>
        <w:t>, 635–640 (2011).</w:t>
      </w:r>
    </w:p>
    <w:p w:rsidR="00516AC8" w:rsidRPr="00516AC8" w:rsidRDefault="00516AC8" w:rsidP="00516AC8">
      <w:pPr>
        <w:widowControl w:val="0"/>
        <w:autoSpaceDE w:val="0"/>
        <w:autoSpaceDN w:val="0"/>
        <w:adjustRightInd w:val="0"/>
        <w:spacing w:line="240" w:lineRule="auto"/>
        <w:ind w:left="640" w:hanging="640"/>
        <w:rPr>
          <w:rFonts w:ascii="Times New Roman" w:hAnsi="Times New Roman" w:cs="Times New Roman"/>
          <w:noProof/>
          <w:sz w:val="24"/>
          <w:szCs w:val="24"/>
        </w:rPr>
      </w:pPr>
      <w:r w:rsidRPr="00516AC8">
        <w:rPr>
          <w:rFonts w:ascii="Times New Roman" w:hAnsi="Times New Roman" w:cs="Times New Roman"/>
          <w:noProof/>
          <w:sz w:val="24"/>
          <w:szCs w:val="24"/>
        </w:rPr>
        <w:t>9.</w:t>
      </w:r>
      <w:r w:rsidRPr="00516AC8">
        <w:rPr>
          <w:rFonts w:ascii="Times New Roman" w:hAnsi="Times New Roman" w:cs="Times New Roman"/>
          <w:noProof/>
          <w:sz w:val="24"/>
          <w:szCs w:val="24"/>
        </w:rPr>
        <w:tab/>
        <w:t xml:space="preserve">Lopez-Cortes, L.F.,  et al. Lopinavir plasma concentrations and virological outcome with lopinavir-ritonavir monotherapy in HIV-1-infected patients. </w:t>
      </w:r>
      <w:r w:rsidRPr="00516AC8">
        <w:rPr>
          <w:rFonts w:ascii="Times New Roman" w:hAnsi="Times New Roman" w:cs="Times New Roman"/>
          <w:i/>
          <w:iCs/>
          <w:noProof/>
          <w:sz w:val="24"/>
          <w:szCs w:val="24"/>
        </w:rPr>
        <w:t>Antimicrob. Agents Chemother.</w:t>
      </w:r>
      <w:r w:rsidRPr="00516AC8">
        <w:rPr>
          <w:rFonts w:ascii="Times New Roman" w:hAnsi="Times New Roman" w:cs="Times New Roman"/>
          <w:b/>
          <w:bCs/>
          <w:noProof/>
          <w:sz w:val="24"/>
          <w:szCs w:val="24"/>
        </w:rPr>
        <w:t>57</w:t>
      </w:r>
      <w:r w:rsidRPr="00516AC8">
        <w:rPr>
          <w:rFonts w:ascii="Times New Roman" w:hAnsi="Times New Roman" w:cs="Times New Roman"/>
          <w:noProof/>
          <w:sz w:val="24"/>
          <w:szCs w:val="24"/>
        </w:rPr>
        <w:t>, 3746–3751 (2013).</w:t>
      </w:r>
    </w:p>
    <w:p w:rsidR="00516AC8" w:rsidRPr="00516AC8" w:rsidRDefault="00516AC8" w:rsidP="00516AC8">
      <w:pPr>
        <w:widowControl w:val="0"/>
        <w:autoSpaceDE w:val="0"/>
        <w:autoSpaceDN w:val="0"/>
        <w:adjustRightInd w:val="0"/>
        <w:spacing w:line="240" w:lineRule="auto"/>
        <w:ind w:left="640" w:hanging="640"/>
        <w:rPr>
          <w:rFonts w:ascii="Times New Roman" w:hAnsi="Times New Roman" w:cs="Times New Roman"/>
          <w:noProof/>
          <w:sz w:val="24"/>
          <w:szCs w:val="24"/>
        </w:rPr>
      </w:pPr>
      <w:r w:rsidRPr="00516AC8">
        <w:rPr>
          <w:rFonts w:ascii="Times New Roman" w:hAnsi="Times New Roman" w:cs="Times New Roman"/>
          <w:noProof/>
          <w:sz w:val="24"/>
          <w:szCs w:val="24"/>
        </w:rPr>
        <w:t>10.</w:t>
      </w:r>
      <w:r w:rsidRPr="00516AC8">
        <w:rPr>
          <w:rFonts w:ascii="Times New Roman" w:hAnsi="Times New Roman" w:cs="Times New Roman"/>
          <w:noProof/>
          <w:sz w:val="24"/>
          <w:szCs w:val="24"/>
        </w:rPr>
        <w:tab/>
        <w:t xml:space="preserve">August JT, Murad F, Anders MW, Coyle JT, L. A. </w:t>
      </w:r>
      <w:r w:rsidRPr="00516AC8">
        <w:rPr>
          <w:rFonts w:ascii="Times New Roman" w:hAnsi="Times New Roman" w:cs="Times New Roman"/>
          <w:i/>
          <w:iCs/>
          <w:noProof/>
          <w:sz w:val="24"/>
          <w:szCs w:val="24"/>
        </w:rPr>
        <w:t>Drug-Drug interactions: scientific and regulatory perspectives</w:t>
      </w:r>
      <w:r w:rsidRPr="00516AC8">
        <w:rPr>
          <w:rFonts w:ascii="Times New Roman" w:hAnsi="Times New Roman" w:cs="Times New Roman"/>
          <w:noProof/>
          <w:sz w:val="24"/>
          <w:szCs w:val="24"/>
        </w:rPr>
        <w:t>. (Academic Press, 1997).</w:t>
      </w:r>
    </w:p>
    <w:p w:rsidR="00516AC8" w:rsidRPr="00516AC8" w:rsidRDefault="00516AC8" w:rsidP="00516AC8">
      <w:pPr>
        <w:widowControl w:val="0"/>
        <w:autoSpaceDE w:val="0"/>
        <w:autoSpaceDN w:val="0"/>
        <w:adjustRightInd w:val="0"/>
        <w:spacing w:line="240" w:lineRule="auto"/>
        <w:ind w:left="640" w:hanging="640"/>
        <w:rPr>
          <w:rFonts w:ascii="Times New Roman" w:hAnsi="Times New Roman" w:cs="Times New Roman"/>
          <w:noProof/>
          <w:sz w:val="24"/>
          <w:szCs w:val="24"/>
        </w:rPr>
      </w:pPr>
      <w:r w:rsidRPr="00516AC8">
        <w:rPr>
          <w:rFonts w:ascii="Times New Roman" w:hAnsi="Times New Roman" w:cs="Times New Roman"/>
          <w:noProof/>
          <w:sz w:val="24"/>
          <w:szCs w:val="24"/>
        </w:rPr>
        <w:t>11.</w:t>
      </w:r>
      <w:r w:rsidRPr="00516AC8">
        <w:rPr>
          <w:rFonts w:ascii="Times New Roman" w:hAnsi="Times New Roman" w:cs="Times New Roman"/>
          <w:noProof/>
          <w:sz w:val="24"/>
          <w:szCs w:val="24"/>
        </w:rPr>
        <w:tab/>
        <w:t xml:space="preserve">Weemhoff, J. L. </w:t>
      </w:r>
      <w:r w:rsidRPr="00516AC8">
        <w:rPr>
          <w:rFonts w:ascii="Times New Roman" w:hAnsi="Times New Roman" w:cs="Times New Roman"/>
          <w:i/>
          <w:iCs/>
          <w:noProof/>
          <w:sz w:val="24"/>
          <w:szCs w:val="24"/>
        </w:rPr>
        <w:t>et al.</w:t>
      </w:r>
      <w:r w:rsidRPr="00516AC8">
        <w:rPr>
          <w:rFonts w:ascii="Times New Roman" w:hAnsi="Times New Roman" w:cs="Times New Roman"/>
          <w:noProof/>
          <w:sz w:val="24"/>
          <w:szCs w:val="24"/>
        </w:rPr>
        <w:t xml:space="preserve"> Apparent mechanism-based inhibition of human CYP3A in-vitro by lopinavir. </w:t>
      </w:r>
      <w:r w:rsidRPr="00516AC8">
        <w:rPr>
          <w:rFonts w:ascii="Times New Roman" w:hAnsi="Times New Roman" w:cs="Times New Roman"/>
          <w:i/>
          <w:iCs/>
          <w:noProof/>
          <w:sz w:val="24"/>
          <w:szCs w:val="24"/>
        </w:rPr>
        <w:t>J. Pharm. Pharmacol.</w:t>
      </w:r>
      <w:r w:rsidRPr="00516AC8">
        <w:rPr>
          <w:rFonts w:ascii="Times New Roman" w:hAnsi="Times New Roman" w:cs="Times New Roman"/>
          <w:b/>
          <w:bCs/>
          <w:noProof/>
          <w:sz w:val="24"/>
          <w:szCs w:val="24"/>
        </w:rPr>
        <w:t>55</w:t>
      </w:r>
      <w:r w:rsidRPr="00516AC8">
        <w:rPr>
          <w:rFonts w:ascii="Times New Roman" w:hAnsi="Times New Roman" w:cs="Times New Roman"/>
          <w:noProof/>
          <w:sz w:val="24"/>
          <w:szCs w:val="24"/>
        </w:rPr>
        <w:t>, 381–386 (2003).</w:t>
      </w:r>
    </w:p>
    <w:p w:rsidR="00516AC8" w:rsidRPr="00516AC8" w:rsidRDefault="00516AC8" w:rsidP="00516AC8">
      <w:pPr>
        <w:widowControl w:val="0"/>
        <w:autoSpaceDE w:val="0"/>
        <w:autoSpaceDN w:val="0"/>
        <w:adjustRightInd w:val="0"/>
        <w:spacing w:line="240" w:lineRule="auto"/>
        <w:ind w:left="640" w:hanging="640"/>
        <w:rPr>
          <w:rFonts w:ascii="Times New Roman" w:hAnsi="Times New Roman" w:cs="Times New Roman"/>
          <w:noProof/>
          <w:sz w:val="24"/>
          <w:szCs w:val="24"/>
        </w:rPr>
      </w:pPr>
      <w:r w:rsidRPr="00516AC8">
        <w:rPr>
          <w:rFonts w:ascii="Times New Roman" w:hAnsi="Times New Roman" w:cs="Times New Roman"/>
          <w:noProof/>
          <w:sz w:val="24"/>
          <w:szCs w:val="24"/>
        </w:rPr>
        <w:t>12.</w:t>
      </w:r>
      <w:r w:rsidRPr="00516AC8">
        <w:rPr>
          <w:rFonts w:ascii="Times New Roman" w:hAnsi="Times New Roman" w:cs="Times New Roman"/>
          <w:noProof/>
          <w:sz w:val="24"/>
          <w:szCs w:val="24"/>
        </w:rPr>
        <w:tab/>
        <w:t xml:space="preserve">Salmon, P.,  et al. Pharmacokinetics and pharmacodynamics of recombinant human interferon-β in healthy male volunteers. </w:t>
      </w:r>
      <w:r w:rsidRPr="00516AC8">
        <w:rPr>
          <w:rFonts w:ascii="Times New Roman" w:hAnsi="Times New Roman" w:cs="Times New Roman"/>
          <w:i/>
          <w:iCs/>
          <w:noProof/>
          <w:sz w:val="24"/>
          <w:szCs w:val="24"/>
        </w:rPr>
        <w:t>J. Interf. cytokine Res.</w:t>
      </w:r>
      <w:r w:rsidRPr="00516AC8">
        <w:rPr>
          <w:rFonts w:ascii="Times New Roman" w:hAnsi="Times New Roman" w:cs="Times New Roman"/>
          <w:b/>
          <w:bCs/>
          <w:noProof/>
          <w:sz w:val="24"/>
          <w:szCs w:val="24"/>
        </w:rPr>
        <w:t>16</w:t>
      </w:r>
      <w:r w:rsidRPr="00516AC8">
        <w:rPr>
          <w:rFonts w:ascii="Times New Roman" w:hAnsi="Times New Roman" w:cs="Times New Roman"/>
          <w:noProof/>
          <w:sz w:val="24"/>
          <w:szCs w:val="24"/>
        </w:rPr>
        <w:t>, 759–764 (1996).</w:t>
      </w:r>
    </w:p>
    <w:p w:rsidR="00516AC8" w:rsidRPr="00516AC8" w:rsidRDefault="00516AC8" w:rsidP="00516AC8">
      <w:pPr>
        <w:widowControl w:val="0"/>
        <w:autoSpaceDE w:val="0"/>
        <w:autoSpaceDN w:val="0"/>
        <w:adjustRightInd w:val="0"/>
        <w:spacing w:line="240" w:lineRule="auto"/>
        <w:ind w:left="640" w:hanging="640"/>
        <w:rPr>
          <w:rFonts w:ascii="Times New Roman" w:hAnsi="Times New Roman" w:cs="Times New Roman"/>
          <w:noProof/>
          <w:sz w:val="24"/>
          <w:szCs w:val="24"/>
        </w:rPr>
      </w:pPr>
      <w:r w:rsidRPr="00516AC8">
        <w:rPr>
          <w:rFonts w:ascii="Times New Roman" w:hAnsi="Times New Roman" w:cs="Times New Roman"/>
          <w:noProof/>
          <w:sz w:val="24"/>
          <w:szCs w:val="24"/>
        </w:rPr>
        <w:t>13.</w:t>
      </w:r>
      <w:r w:rsidRPr="00516AC8">
        <w:rPr>
          <w:rFonts w:ascii="Times New Roman" w:hAnsi="Times New Roman" w:cs="Times New Roman"/>
          <w:noProof/>
          <w:sz w:val="24"/>
          <w:szCs w:val="24"/>
        </w:rPr>
        <w:tab/>
        <w:t xml:space="preserve">Hu, X.,  et al. COMPARE: Pharmacokinetic profiles of subcutaneous peginterferon beta‐1a and subcutaneous interferon beta‐1a over 2 weeks in healthy subjects. </w:t>
      </w:r>
      <w:r w:rsidRPr="00516AC8">
        <w:rPr>
          <w:rFonts w:ascii="Times New Roman" w:hAnsi="Times New Roman" w:cs="Times New Roman"/>
          <w:i/>
          <w:iCs/>
          <w:noProof/>
          <w:sz w:val="24"/>
          <w:szCs w:val="24"/>
        </w:rPr>
        <w:t>Br. J. Clin. Pharmacol.</w:t>
      </w:r>
      <w:r w:rsidRPr="00516AC8">
        <w:rPr>
          <w:rFonts w:ascii="Times New Roman" w:hAnsi="Times New Roman" w:cs="Times New Roman"/>
          <w:b/>
          <w:bCs/>
          <w:noProof/>
          <w:sz w:val="24"/>
          <w:szCs w:val="24"/>
        </w:rPr>
        <w:t>82</w:t>
      </w:r>
      <w:r w:rsidRPr="00516AC8">
        <w:rPr>
          <w:rFonts w:ascii="Times New Roman" w:hAnsi="Times New Roman" w:cs="Times New Roman"/>
          <w:noProof/>
          <w:sz w:val="24"/>
          <w:szCs w:val="24"/>
        </w:rPr>
        <w:t>, 380–388 (2016).</w:t>
      </w:r>
    </w:p>
    <w:p w:rsidR="00516AC8" w:rsidRPr="00516AC8" w:rsidRDefault="00516AC8" w:rsidP="00516AC8">
      <w:pPr>
        <w:widowControl w:val="0"/>
        <w:autoSpaceDE w:val="0"/>
        <w:autoSpaceDN w:val="0"/>
        <w:adjustRightInd w:val="0"/>
        <w:spacing w:line="240" w:lineRule="auto"/>
        <w:ind w:left="640" w:hanging="640"/>
        <w:rPr>
          <w:rFonts w:ascii="Times New Roman" w:hAnsi="Times New Roman" w:cs="Times New Roman"/>
          <w:noProof/>
          <w:sz w:val="24"/>
          <w:szCs w:val="24"/>
        </w:rPr>
      </w:pPr>
      <w:r w:rsidRPr="00516AC8">
        <w:rPr>
          <w:rFonts w:ascii="Times New Roman" w:hAnsi="Times New Roman" w:cs="Times New Roman"/>
          <w:noProof/>
          <w:sz w:val="24"/>
          <w:szCs w:val="24"/>
        </w:rPr>
        <w:lastRenderedPageBreak/>
        <w:t>14.</w:t>
      </w:r>
      <w:r w:rsidRPr="00516AC8">
        <w:rPr>
          <w:rFonts w:ascii="Times New Roman" w:hAnsi="Times New Roman" w:cs="Times New Roman"/>
          <w:noProof/>
          <w:sz w:val="24"/>
          <w:szCs w:val="24"/>
        </w:rPr>
        <w:tab/>
        <w:t xml:space="preserve">Delaporte, E. and K. W. R. Cytochrome P4501A1 and cytochrome P4501A2 are downregulated at both transcriptional and post-transcriptional levels by conditions resulting in interferon-α/β induction. </w:t>
      </w:r>
      <w:r w:rsidRPr="00516AC8">
        <w:rPr>
          <w:rFonts w:ascii="Times New Roman" w:hAnsi="Times New Roman" w:cs="Times New Roman"/>
          <w:i/>
          <w:iCs/>
          <w:noProof/>
          <w:sz w:val="24"/>
          <w:szCs w:val="24"/>
        </w:rPr>
        <w:t>Life Sci.</w:t>
      </w:r>
      <w:r w:rsidRPr="00516AC8">
        <w:rPr>
          <w:rFonts w:ascii="Times New Roman" w:hAnsi="Times New Roman" w:cs="Times New Roman"/>
          <w:b/>
          <w:bCs/>
          <w:noProof/>
          <w:sz w:val="24"/>
          <w:szCs w:val="24"/>
        </w:rPr>
        <w:t>60</w:t>
      </w:r>
      <w:r w:rsidRPr="00516AC8">
        <w:rPr>
          <w:rFonts w:ascii="Times New Roman" w:hAnsi="Times New Roman" w:cs="Times New Roman"/>
          <w:noProof/>
          <w:sz w:val="24"/>
          <w:szCs w:val="24"/>
        </w:rPr>
        <w:t>, 787–796 (1997).</w:t>
      </w:r>
    </w:p>
    <w:p w:rsidR="00516AC8" w:rsidRPr="00516AC8" w:rsidRDefault="00516AC8" w:rsidP="00516AC8">
      <w:pPr>
        <w:widowControl w:val="0"/>
        <w:autoSpaceDE w:val="0"/>
        <w:autoSpaceDN w:val="0"/>
        <w:adjustRightInd w:val="0"/>
        <w:spacing w:line="240" w:lineRule="auto"/>
        <w:ind w:left="640" w:hanging="640"/>
        <w:rPr>
          <w:rFonts w:ascii="Times New Roman" w:hAnsi="Times New Roman" w:cs="Times New Roman"/>
          <w:noProof/>
          <w:sz w:val="24"/>
          <w:szCs w:val="24"/>
        </w:rPr>
      </w:pPr>
      <w:r w:rsidRPr="00516AC8">
        <w:rPr>
          <w:rFonts w:ascii="Times New Roman" w:hAnsi="Times New Roman" w:cs="Times New Roman"/>
          <w:noProof/>
          <w:sz w:val="24"/>
          <w:szCs w:val="24"/>
        </w:rPr>
        <w:t>15.</w:t>
      </w:r>
      <w:r w:rsidRPr="00516AC8">
        <w:rPr>
          <w:rFonts w:ascii="Times New Roman" w:hAnsi="Times New Roman" w:cs="Times New Roman"/>
          <w:noProof/>
          <w:sz w:val="24"/>
          <w:szCs w:val="24"/>
        </w:rPr>
        <w:tab/>
        <w:t xml:space="preserve">Accessdata.fda. Inderal (Propranolol hydrochloride tablets). Available at: https://www.accessdata.fda.gov/drugsatfda_docs/label/2011/016418s080,016762s017,017683s008lbl.pdf. </w:t>
      </w:r>
    </w:p>
    <w:p w:rsidR="00516AC8" w:rsidRPr="00516AC8" w:rsidRDefault="00516AC8" w:rsidP="00516AC8">
      <w:pPr>
        <w:widowControl w:val="0"/>
        <w:autoSpaceDE w:val="0"/>
        <w:autoSpaceDN w:val="0"/>
        <w:adjustRightInd w:val="0"/>
        <w:spacing w:line="240" w:lineRule="auto"/>
        <w:ind w:left="640" w:hanging="640"/>
        <w:rPr>
          <w:rFonts w:ascii="Times New Roman" w:hAnsi="Times New Roman" w:cs="Times New Roman"/>
          <w:noProof/>
          <w:sz w:val="24"/>
          <w:szCs w:val="24"/>
        </w:rPr>
      </w:pPr>
      <w:r w:rsidRPr="00516AC8">
        <w:rPr>
          <w:rFonts w:ascii="Times New Roman" w:hAnsi="Times New Roman" w:cs="Times New Roman"/>
          <w:noProof/>
          <w:sz w:val="24"/>
          <w:szCs w:val="24"/>
        </w:rPr>
        <w:t>16.</w:t>
      </w:r>
      <w:r w:rsidRPr="00516AC8">
        <w:rPr>
          <w:rFonts w:ascii="Times New Roman" w:hAnsi="Times New Roman" w:cs="Times New Roman"/>
          <w:noProof/>
          <w:sz w:val="24"/>
          <w:szCs w:val="24"/>
        </w:rPr>
        <w:tab/>
        <w:t>Routledge, P. . &amp; Shand, D. . Indwelling Cannulae 9.9 %. 74–90 (1977).</w:t>
      </w:r>
    </w:p>
    <w:p w:rsidR="00516AC8" w:rsidRPr="00516AC8" w:rsidRDefault="00516AC8" w:rsidP="00516AC8">
      <w:pPr>
        <w:widowControl w:val="0"/>
        <w:autoSpaceDE w:val="0"/>
        <w:autoSpaceDN w:val="0"/>
        <w:adjustRightInd w:val="0"/>
        <w:spacing w:line="240" w:lineRule="auto"/>
        <w:ind w:left="640" w:hanging="640"/>
        <w:rPr>
          <w:rFonts w:ascii="Times New Roman" w:hAnsi="Times New Roman" w:cs="Times New Roman"/>
          <w:noProof/>
          <w:sz w:val="24"/>
          <w:szCs w:val="24"/>
        </w:rPr>
      </w:pPr>
      <w:r w:rsidRPr="00516AC8">
        <w:rPr>
          <w:rFonts w:ascii="Times New Roman" w:hAnsi="Times New Roman" w:cs="Times New Roman"/>
          <w:noProof/>
          <w:sz w:val="24"/>
          <w:szCs w:val="24"/>
        </w:rPr>
        <w:t>17.</w:t>
      </w:r>
      <w:r w:rsidRPr="00516AC8">
        <w:rPr>
          <w:rFonts w:ascii="Times New Roman" w:hAnsi="Times New Roman" w:cs="Times New Roman"/>
          <w:noProof/>
          <w:sz w:val="24"/>
          <w:szCs w:val="24"/>
        </w:rPr>
        <w:tab/>
        <w:t xml:space="preserve">Morris J, D. A. Metoprolol. </w:t>
      </w:r>
      <w:r w:rsidRPr="00516AC8">
        <w:rPr>
          <w:rFonts w:ascii="Times New Roman" w:hAnsi="Times New Roman" w:cs="Times New Roman"/>
          <w:i/>
          <w:iCs/>
          <w:noProof/>
          <w:sz w:val="24"/>
          <w:szCs w:val="24"/>
        </w:rPr>
        <w:t>InStatPearls [Internet]</w:t>
      </w:r>
      <w:r w:rsidRPr="00516AC8">
        <w:rPr>
          <w:rFonts w:ascii="Times New Roman" w:hAnsi="Times New Roman" w:cs="Times New Roman"/>
          <w:b/>
          <w:bCs/>
          <w:noProof/>
          <w:sz w:val="24"/>
          <w:szCs w:val="24"/>
        </w:rPr>
        <w:t>StatPearls</w:t>
      </w:r>
      <w:r w:rsidRPr="00516AC8">
        <w:rPr>
          <w:rFonts w:ascii="Times New Roman" w:hAnsi="Times New Roman" w:cs="Times New Roman"/>
          <w:noProof/>
          <w:sz w:val="24"/>
          <w:szCs w:val="24"/>
        </w:rPr>
        <w:t>, (2018).</w:t>
      </w:r>
    </w:p>
    <w:p w:rsidR="00516AC8" w:rsidRPr="00516AC8" w:rsidRDefault="00516AC8" w:rsidP="00516AC8">
      <w:pPr>
        <w:widowControl w:val="0"/>
        <w:autoSpaceDE w:val="0"/>
        <w:autoSpaceDN w:val="0"/>
        <w:adjustRightInd w:val="0"/>
        <w:spacing w:line="240" w:lineRule="auto"/>
        <w:ind w:left="640" w:hanging="640"/>
        <w:rPr>
          <w:rFonts w:ascii="Times New Roman" w:hAnsi="Times New Roman" w:cs="Times New Roman"/>
          <w:noProof/>
          <w:sz w:val="24"/>
          <w:szCs w:val="24"/>
        </w:rPr>
      </w:pPr>
      <w:r w:rsidRPr="00516AC8">
        <w:rPr>
          <w:rFonts w:ascii="Times New Roman" w:hAnsi="Times New Roman" w:cs="Times New Roman"/>
          <w:noProof/>
          <w:sz w:val="24"/>
          <w:szCs w:val="24"/>
        </w:rPr>
        <w:t>18.</w:t>
      </w:r>
      <w:r w:rsidRPr="00516AC8">
        <w:rPr>
          <w:rFonts w:ascii="Times New Roman" w:hAnsi="Times New Roman" w:cs="Times New Roman"/>
          <w:noProof/>
          <w:sz w:val="24"/>
          <w:szCs w:val="24"/>
        </w:rPr>
        <w:tab/>
        <w:t xml:space="preserve">Bahar, M. A., Kamp, J., Borgsteede, S. D., Hak, E. &amp; Wilffert, B. The impact of CYP2D6 mediated drug–drug interaction: a systematic review on a combination of metoprolol and paroxetine/fluoxetine. </w:t>
      </w:r>
      <w:r w:rsidRPr="00516AC8">
        <w:rPr>
          <w:rFonts w:ascii="Times New Roman" w:hAnsi="Times New Roman" w:cs="Times New Roman"/>
          <w:i/>
          <w:iCs/>
          <w:noProof/>
          <w:sz w:val="24"/>
          <w:szCs w:val="24"/>
        </w:rPr>
        <w:t>Br. J. Clin. Pharmacol.</w:t>
      </w:r>
      <w:r w:rsidRPr="00516AC8">
        <w:rPr>
          <w:rFonts w:ascii="Times New Roman" w:hAnsi="Times New Roman" w:cs="Times New Roman"/>
          <w:b/>
          <w:bCs/>
          <w:noProof/>
          <w:sz w:val="24"/>
          <w:szCs w:val="24"/>
        </w:rPr>
        <w:t>84</w:t>
      </w:r>
      <w:r w:rsidRPr="00516AC8">
        <w:rPr>
          <w:rFonts w:ascii="Times New Roman" w:hAnsi="Times New Roman" w:cs="Times New Roman"/>
          <w:noProof/>
          <w:sz w:val="24"/>
          <w:szCs w:val="24"/>
        </w:rPr>
        <w:t>, 2704–2715 (2018).</w:t>
      </w:r>
    </w:p>
    <w:p w:rsidR="00516AC8" w:rsidRPr="00516AC8" w:rsidRDefault="00516AC8" w:rsidP="00516AC8">
      <w:pPr>
        <w:widowControl w:val="0"/>
        <w:autoSpaceDE w:val="0"/>
        <w:autoSpaceDN w:val="0"/>
        <w:adjustRightInd w:val="0"/>
        <w:spacing w:line="240" w:lineRule="auto"/>
        <w:ind w:left="640" w:hanging="640"/>
        <w:rPr>
          <w:rFonts w:ascii="Times New Roman" w:hAnsi="Times New Roman" w:cs="Times New Roman"/>
          <w:noProof/>
          <w:sz w:val="24"/>
          <w:szCs w:val="24"/>
        </w:rPr>
      </w:pPr>
      <w:r w:rsidRPr="00516AC8">
        <w:rPr>
          <w:rFonts w:ascii="Times New Roman" w:hAnsi="Times New Roman" w:cs="Times New Roman"/>
          <w:noProof/>
          <w:sz w:val="24"/>
          <w:szCs w:val="24"/>
        </w:rPr>
        <w:t>19.</w:t>
      </w:r>
      <w:r w:rsidRPr="00516AC8">
        <w:rPr>
          <w:rFonts w:ascii="Times New Roman" w:hAnsi="Times New Roman" w:cs="Times New Roman"/>
          <w:noProof/>
          <w:sz w:val="24"/>
          <w:szCs w:val="24"/>
        </w:rPr>
        <w:tab/>
        <w:t xml:space="preserve">Accessdata.fda. MICARDIS® (telmisartan) Tablets. Available at: https://www.accessdata.fda.gov/drugsatfda_docs/label/2011/020850s032lbl.pdf. </w:t>
      </w:r>
    </w:p>
    <w:p w:rsidR="00516AC8" w:rsidRPr="00516AC8" w:rsidRDefault="00516AC8" w:rsidP="00516AC8">
      <w:pPr>
        <w:widowControl w:val="0"/>
        <w:autoSpaceDE w:val="0"/>
        <w:autoSpaceDN w:val="0"/>
        <w:adjustRightInd w:val="0"/>
        <w:spacing w:line="240" w:lineRule="auto"/>
        <w:ind w:left="640" w:hanging="640"/>
        <w:rPr>
          <w:rFonts w:ascii="Times New Roman" w:hAnsi="Times New Roman" w:cs="Times New Roman"/>
          <w:noProof/>
          <w:sz w:val="24"/>
          <w:szCs w:val="24"/>
        </w:rPr>
      </w:pPr>
      <w:r w:rsidRPr="00516AC8">
        <w:rPr>
          <w:rFonts w:ascii="Times New Roman" w:hAnsi="Times New Roman" w:cs="Times New Roman"/>
          <w:noProof/>
          <w:sz w:val="24"/>
          <w:szCs w:val="24"/>
        </w:rPr>
        <w:t>20.</w:t>
      </w:r>
      <w:r w:rsidRPr="00516AC8">
        <w:rPr>
          <w:rFonts w:ascii="Times New Roman" w:hAnsi="Times New Roman" w:cs="Times New Roman"/>
          <w:noProof/>
          <w:sz w:val="24"/>
          <w:szCs w:val="24"/>
        </w:rPr>
        <w:tab/>
        <w:t xml:space="preserve">Stangier, J., Su, C. A. P. F. &amp; Roth, W. Pharmacokinetics of orally and intravenously administered telmisartan in healthy young and elderly volunteers and in hypertensive patients. </w:t>
      </w:r>
      <w:r w:rsidRPr="00516AC8">
        <w:rPr>
          <w:rFonts w:ascii="Times New Roman" w:hAnsi="Times New Roman" w:cs="Times New Roman"/>
          <w:i/>
          <w:iCs/>
          <w:noProof/>
          <w:sz w:val="24"/>
          <w:szCs w:val="24"/>
        </w:rPr>
        <w:t>J. Int. Med. Res.</w:t>
      </w:r>
      <w:r w:rsidRPr="00516AC8">
        <w:rPr>
          <w:rFonts w:ascii="Times New Roman" w:hAnsi="Times New Roman" w:cs="Times New Roman"/>
          <w:b/>
          <w:bCs/>
          <w:noProof/>
          <w:sz w:val="24"/>
          <w:szCs w:val="24"/>
        </w:rPr>
        <w:t>28</w:t>
      </w:r>
      <w:r w:rsidRPr="00516AC8">
        <w:rPr>
          <w:rFonts w:ascii="Times New Roman" w:hAnsi="Times New Roman" w:cs="Times New Roman"/>
          <w:noProof/>
          <w:sz w:val="24"/>
          <w:szCs w:val="24"/>
        </w:rPr>
        <w:t>, 149–167 (2000).</w:t>
      </w:r>
    </w:p>
    <w:p w:rsidR="00516AC8" w:rsidRPr="00516AC8" w:rsidRDefault="00516AC8" w:rsidP="00516AC8">
      <w:pPr>
        <w:widowControl w:val="0"/>
        <w:autoSpaceDE w:val="0"/>
        <w:autoSpaceDN w:val="0"/>
        <w:adjustRightInd w:val="0"/>
        <w:spacing w:line="240" w:lineRule="auto"/>
        <w:ind w:left="640" w:hanging="640"/>
        <w:rPr>
          <w:rFonts w:ascii="Times New Roman" w:hAnsi="Times New Roman" w:cs="Times New Roman"/>
          <w:noProof/>
          <w:sz w:val="24"/>
          <w:szCs w:val="24"/>
        </w:rPr>
      </w:pPr>
      <w:r w:rsidRPr="00516AC8">
        <w:rPr>
          <w:rFonts w:ascii="Times New Roman" w:hAnsi="Times New Roman" w:cs="Times New Roman"/>
          <w:noProof/>
          <w:sz w:val="24"/>
          <w:szCs w:val="24"/>
        </w:rPr>
        <w:t>21.</w:t>
      </w:r>
      <w:r w:rsidRPr="00516AC8">
        <w:rPr>
          <w:rFonts w:ascii="Times New Roman" w:hAnsi="Times New Roman" w:cs="Times New Roman"/>
          <w:noProof/>
          <w:sz w:val="24"/>
          <w:szCs w:val="24"/>
        </w:rPr>
        <w:tab/>
        <w:t xml:space="preserve">Sica, D. A., Gehr, T. W. B. &amp; Ghosh, S. Clinical pharmacokinetics of losartan. </w:t>
      </w:r>
      <w:r w:rsidRPr="00516AC8">
        <w:rPr>
          <w:rFonts w:ascii="Times New Roman" w:hAnsi="Times New Roman" w:cs="Times New Roman"/>
          <w:i/>
          <w:iCs/>
          <w:noProof/>
          <w:sz w:val="24"/>
          <w:szCs w:val="24"/>
        </w:rPr>
        <w:t>Clin. Pharmacokinet.</w:t>
      </w:r>
      <w:r w:rsidRPr="00516AC8">
        <w:rPr>
          <w:rFonts w:ascii="Times New Roman" w:hAnsi="Times New Roman" w:cs="Times New Roman"/>
          <w:b/>
          <w:bCs/>
          <w:noProof/>
          <w:sz w:val="24"/>
          <w:szCs w:val="24"/>
        </w:rPr>
        <w:t>44</w:t>
      </w:r>
      <w:r w:rsidRPr="00516AC8">
        <w:rPr>
          <w:rFonts w:ascii="Times New Roman" w:hAnsi="Times New Roman" w:cs="Times New Roman"/>
          <w:noProof/>
          <w:sz w:val="24"/>
          <w:szCs w:val="24"/>
        </w:rPr>
        <w:t>, 797–814 (2005).</w:t>
      </w:r>
    </w:p>
    <w:p w:rsidR="00516AC8" w:rsidRPr="00516AC8" w:rsidRDefault="00516AC8" w:rsidP="00516AC8">
      <w:pPr>
        <w:widowControl w:val="0"/>
        <w:autoSpaceDE w:val="0"/>
        <w:autoSpaceDN w:val="0"/>
        <w:adjustRightInd w:val="0"/>
        <w:spacing w:line="240" w:lineRule="auto"/>
        <w:ind w:left="640" w:hanging="640"/>
        <w:rPr>
          <w:rFonts w:ascii="Times New Roman" w:hAnsi="Times New Roman" w:cs="Times New Roman"/>
          <w:noProof/>
          <w:sz w:val="24"/>
          <w:szCs w:val="24"/>
        </w:rPr>
      </w:pPr>
      <w:r w:rsidRPr="00516AC8">
        <w:rPr>
          <w:rFonts w:ascii="Times New Roman" w:hAnsi="Times New Roman" w:cs="Times New Roman"/>
          <w:noProof/>
          <w:sz w:val="24"/>
          <w:szCs w:val="24"/>
        </w:rPr>
        <w:t>22.</w:t>
      </w:r>
      <w:r w:rsidRPr="00516AC8">
        <w:rPr>
          <w:rFonts w:ascii="Times New Roman" w:hAnsi="Times New Roman" w:cs="Times New Roman"/>
          <w:noProof/>
          <w:sz w:val="24"/>
          <w:szCs w:val="24"/>
        </w:rPr>
        <w:tab/>
        <w:t xml:space="preserve">Haley, T. J. Metabolism and pharmacokinetics of theophylline in human neonates, children, and adults. </w:t>
      </w:r>
      <w:r w:rsidRPr="00516AC8">
        <w:rPr>
          <w:rFonts w:ascii="Times New Roman" w:hAnsi="Times New Roman" w:cs="Times New Roman"/>
          <w:i/>
          <w:iCs/>
          <w:noProof/>
          <w:sz w:val="24"/>
          <w:szCs w:val="24"/>
        </w:rPr>
        <w:t>Drug Metab. Rev.</w:t>
      </w:r>
      <w:r w:rsidRPr="00516AC8">
        <w:rPr>
          <w:rFonts w:ascii="Times New Roman" w:hAnsi="Times New Roman" w:cs="Times New Roman"/>
          <w:b/>
          <w:bCs/>
          <w:noProof/>
          <w:sz w:val="24"/>
          <w:szCs w:val="24"/>
        </w:rPr>
        <w:t>14</w:t>
      </w:r>
      <w:r w:rsidRPr="00516AC8">
        <w:rPr>
          <w:rFonts w:ascii="Times New Roman" w:hAnsi="Times New Roman" w:cs="Times New Roman"/>
          <w:noProof/>
          <w:sz w:val="24"/>
          <w:szCs w:val="24"/>
        </w:rPr>
        <w:t>, 295–335 (1983).</w:t>
      </w:r>
    </w:p>
    <w:p w:rsidR="00516AC8" w:rsidRPr="00516AC8" w:rsidRDefault="00516AC8" w:rsidP="00516AC8">
      <w:pPr>
        <w:widowControl w:val="0"/>
        <w:autoSpaceDE w:val="0"/>
        <w:autoSpaceDN w:val="0"/>
        <w:adjustRightInd w:val="0"/>
        <w:spacing w:line="240" w:lineRule="auto"/>
        <w:ind w:left="640" w:hanging="640"/>
        <w:rPr>
          <w:rFonts w:ascii="Times New Roman" w:hAnsi="Times New Roman" w:cs="Times New Roman"/>
          <w:noProof/>
          <w:sz w:val="24"/>
          <w:szCs w:val="24"/>
        </w:rPr>
      </w:pPr>
      <w:r w:rsidRPr="00516AC8">
        <w:rPr>
          <w:rFonts w:ascii="Times New Roman" w:hAnsi="Times New Roman" w:cs="Times New Roman"/>
          <w:noProof/>
          <w:sz w:val="24"/>
          <w:szCs w:val="24"/>
        </w:rPr>
        <w:t>23.</w:t>
      </w:r>
      <w:r w:rsidRPr="00516AC8">
        <w:rPr>
          <w:rFonts w:ascii="Times New Roman" w:hAnsi="Times New Roman" w:cs="Times New Roman"/>
          <w:noProof/>
          <w:sz w:val="24"/>
          <w:szCs w:val="24"/>
        </w:rPr>
        <w:tab/>
        <w:t xml:space="preserve">Ha, H., Chen, J., Freiburghaus, A. &amp; Follath, F. Metabolism of theophylline by cDNA‐expressed human cytochromes P‐450. </w:t>
      </w:r>
      <w:r w:rsidRPr="00516AC8">
        <w:rPr>
          <w:rFonts w:ascii="Times New Roman" w:hAnsi="Times New Roman" w:cs="Times New Roman"/>
          <w:i/>
          <w:iCs/>
          <w:noProof/>
          <w:sz w:val="24"/>
          <w:szCs w:val="24"/>
        </w:rPr>
        <w:t>Br. J. Clin. Pharmacol.</w:t>
      </w:r>
      <w:r w:rsidRPr="00516AC8">
        <w:rPr>
          <w:rFonts w:ascii="Times New Roman" w:hAnsi="Times New Roman" w:cs="Times New Roman"/>
          <w:b/>
          <w:bCs/>
          <w:noProof/>
          <w:sz w:val="24"/>
          <w:szCs w:val="24"/>
        </w:rPr>
        <w:t>39</w:t>
      </w:r>
      <w:r w:rsidRPr="00516AC8">
        <w:rPr>
          <w:rFonts w:ascii="Times New Roman" w:hAnsi="Times New Roman" w:cs="Times New Roman"/>
          <w:noProof/>
          <w:sz w:val="24"/>
          <w:szCs w:val="24"/>
        </w:rPr>
        <w:t>, 321–326 (1995).</w:t>
      </w:r>
    </w:p>
    <w:p w:rsidR="00516AC8" w:rsidRPr="00516AC8" w:rsidRDefault="00516AC8" w:rsidP="00516AC8">
      <w:pPr>
        <w:widowControl w:val="0"/>
        <w:autoSpaceDE w:val="0"/>
        <w:autoSpaceDN w:val="0"/>
        <w:adjustRightInd w:val="0"/>
        <w:spacing w:line="240" w:lineRule="auto"/>
        <w:ind w:left="640" w:hanging="640"/>
        <w:rPr>
          <w:rFonts w:ascii="Times New Roman" w:hAnsi="Times New Roman" w:cs="Times New Roman"/>
          <w:noProof/>
          <w:sz w:val="24"/>
          <w:szCs w:val="24"/>
        </w:rPr>
      </w:pPr>
      <w:r w:rsidRPr="00516AC8">
        <w:rPr>
          <w:rFonts w:ascii="Times New Roman" w:hAnsi="Times New Roman" w:cs="Times New Roman"/>
          <w:noProof/>
          <w:sz w:val="24"/>
          <w:szCs w:val="24"/>
        </w:rPr>
        <w:t>24.</w:t>
      </w:r>
      <w:r w:rsidRPr="00516AC8">
        <w:rPr>
          <w:rFonts w:ascii="Times New Roman" w:hAnsi="Times New Roman" w:cs="Times New Roman"/>
          <w:noProof/>
          <w:sz w:val="24"/>
          <w:szCs w:val="24"/>
        </w:rPr>
        <w:tab/>
        <w:t xml:space="preserve">THEOPHYLLINE 200, 400 AND 800 mg in 5% Dextrose Injection, USP. Available at: https://www.accessdata.fda.gov/drugsatfda_docs/label/2008/019211s040lbl.pdf. </w:t>
      </w:r>
    </w:p>
    <w:p w:rsidR="00516AC8" w:rsidRPr="00516AC8" w:rsidRDefault="00516AC8" w:rsidP="00516AC8">
      <w:pPr>
        <w:widowControl w:val="0"/>
        <w:autoSpaceDE w:val="0"/>
        <w:autoSpaceDN w:val="0"/>
        <w:adjustRightInd w:val="0"/>
        <w:spacing w:line="240" w:lineRule="auto"/>
        <w:ind w:left="640" w:hanging="640"/>
        <w:rPr>
          <w:rFonts w:ascii="Times New Roman" w:hAnsi="Times New Roman" w:cs="Times New Roman"/>
          <w:noProof/>
          <w:sz w:val="24"/>
          <w:szCs w:val="24"/>
        </w:rPr>
      </w:pPr>
      <w:r w:rsidRPr="00516AC8">
        <w:rPr>
          <w:rFonts w:ascii="Times New Roman" w:hAnsi="Times New Roman" w:cs="Times New Roman"/>
          <w:noProof/>
          <w:sz w:val="24"/>
          <w:szCs w:val="24"/>
        </w:rPr>
        <w:t>25.</w:t>
      </w:r>
      <w:r w:rsidRPr="00516AC8">
        <w:rPr>
          <w:rFonts w:ascii="Times New Roman" w:hAnsi="Times New Roman" w:cs="Times New Roman"/>
          <w:noProof/>
          <w:sz w:val="24"/>
          <w:szCs w:val="24"/>
        </w:rPr>
        <w:tab/>
        <w:t xml:space="preserve">Accessdata.fda. AMARYL (glimepiride) tablets. (1995). Available at: https://www.accessdata.fda.gov/drugsatfda_docs/label/2013/020496s027lbl.pdf. </w:t>
      </w:r>
    </w:p>
    <w:p w:rsidR="00516AC8" w:rsidRPr="00516AC8" w:rsidRDefault="00516AC8" w:rsidP="00516AC8">
      <w:pPr>
        <w:widowControl w:val="0"/>
        <w:autoSpaceDE w:val="0"/>
        <w:autoSpaceDN w:val="0"/>
        <w:adjustRightInd w:val="0"/>
        <w:spacing w:line="240" w:lineRule="auto"/>
        <w:ind w:left="640" w:hanging="640"/>
        <w:rPr>
          <w:rFonts w:ascii="Times New Roman" w:hAnsi="Times New Roman" w:cs="Times New Roman"/>
          <w:noProof/>
          <w:sz w:val="24"/>
          <w:szCs w:val="24"/>
        </w:rPr>
      </w:pPr>
      <w:r w:rsidRPr="00516AC8">
        <w:rPr>
          <w:rFonts w:ascii="Times New Roman" w:hAnsi="Times New Roman" w:cs="Times New Roman"/>
          <w:noProof/>
          <w:sz w:val="24"/>
          <w:szCs w:val="24"/>
        </w:rPr>
        <w:t>26.</w:t>
      </w:r>
      <w:r w:rsidRPr="00516AC8">
        <w:rPr>
          <w:rFonts w:ascii="Times New Roman" w:hAnsi="Times New Roman" w:cs="Times New Roman"/>
          <w:noProof/>
          <w:sz w:val="24"/>
          <w:szCs w:val="24"/>
        </w:rPr>
        <w:tab/>
        <w:t xml:space="preserve">Badian, M., Lehr, K. H., Malerczyk, V., Korn, A. &amp; Waldhäusl, W. Absolute Bioavailability of Glimepiride (AMARYL®) after Oral Administration. </w:t>
      </w:r>
      <w:r w:rsidRPr="00516AC8">
        <w:rPr>
          <w:rFonts w:ascii="Times New Roman" w:hAnsi="Times New Roman" w:cs="Times New Roman"/>
          <w:i/>
          <w:iCs/>
          <w:noProof/>
          <w:sz w:val="24"/>
          <w:szCs w:val="24"/>
        </w:rPr>
        <w:t>Drug Metabol. Drug Interact.</w:t>
      </w:r>
      <w:r w:rsidRPr="00516AC8">
        <w:rPr>
          <w:rFonts w:ascii="Times New Roman" w:hAnsi="Times New Roman" w:cs="Times New Roman"/>
          <w:b/>
          <w:bCs/>
          <w:noProof/>
          <w:sz w:val="24"/>
          <w:szCs w:val="24"/>
        </w:rPr>
        <w:t>11</w:t>
      </w:r>
      <w:r w:rsidRPr="00516AC8">
        <w:rPr>
          <w:rFonts w:ascii="Times New Roman" w:hAnsi="Times New Roman" w:cs="Times New Roman"/>
          <w:noProof/>
          <w:sz w:val="24"/>
          <w:szCs w:val="24"/>
        </w:rPr>
        <w:t>, 331–340 (1994).</w:t>
      </w:r>
    </w:p>
    <w:p w:rsidR="00516AC8" w:rsidRPr="00516AC8" w:rsidRDefault="00516AC8" w:rsidP="00516AC8">
      <w:pPr>
        <w:widowControl w:val="0"/>
        <w:autoSpaceDE w:val="0"/>
        <w:autoSpaceDN w:val="0"/>
        <w:adjustRightInd w:val="0"/>
        <w:spacing w:line="240" w:lineRule="auto"/>
        <w:ind w:left="640" w:hanging="640"/>
        <w:rPr>
          <w:rFonts w:ascii="Times New Roman" w:hAnsi="Times New Roman" w:cs="Times New Roman"/>
          <w:noProof/>
          <w:sz w:val="24"/>
          <w:szCs w:val="24"/>
        </w:rPr>
      </w:pPr>
      <w:r w:rsidRPr="00516AC8">
        <w:rPr>
          <w:rFonts w:ascii="Times New Roman" w:hAnsi="Times New Roman" w:cs="Times New Roman"/>
          <w:noProof/>
          <w:sz w:val="24"/>
          <w:szCs w:val="24"/>
        </w:rPr>
        <w:t>27.</w:t>
      </w:r>
      <w:r w:rsidRPr="00516AC8">
        <w:rPr>
          <w:rFonts w:ascii="Times New Roman" w:hAnsi="Times New Roman" w:cs="Times New Roman"/>
          <w:noProof/>
          <w:sz w:val="24"/>
          <w:szCs w:val="24"/>
        </w:rPr>
        <w:tab/>
        <w:t>Accessdata.fda. ACTOS</w:t>
      </w:r>
      <w:r w:rsidRPr="00516AC8">
        <w:rPr>
          <w:rFonts w:ascii="Times New Roman" w:hAnsi="Times New Roman" w:cs="Times New Roman"/>
          <w:noProof/>
          <w:sz w:val="24"/>
          <w:szCs w:val="24"/>
          <w:vertAlign w:val="superscript"/>
        </w:rPr>
        <w:t>TM</w:t>
      </w:r>
      <w:r w:rsidRPr="00516AC8">
        <w:rPr>
          <w:rFonts w:ascii="Times New Roman" w:hAnsi="Times New Roman" w:cs="Times New Roman"/>
          <w:noProof/>
          <w:sz w:val="24"/>
          <w:szCs w:val="24"/>
        </w:rPr>
        <w:t xml:space="preserve"> (Pioglitazone Hydrochloride) Tablets. (1999). Available at: https://www.accessdata.fda.gov/drugsatfda_docs/label/1999/21073lbl.pdf. </w:t>
      </w:r>
    </w:p>
    <w:p w:rsidR="00516AC8" w:rsidRPr="00516AC8" w:rsidRDefault="00516AC8" w:rsidP="00516AC8">
      <w:pPr>
        <w:widowControl w:val="0"/>
        <w:autoSpaceDE w:val="0"/>
        <w:autoSpaceDN w:val="0"/>
        <w:adjustRightInd w:val="0"/>
        <w:spacing w:line="240" w:lineRule="auto"/>
        <w:ind w:left="640" w:hanging="640"/>
        <w:rPr>
          <w:rFonts w:ascii="Times New Roman" w:hAnsi="Times New Roman" w:cs="Times New Roman"/>
          <w:noProof/>
          <w:sz w:val="24"/>
        </w:rPr>
      </w:pPr>
      <w:r w:rsidRPr="00516AC8">
        <w:rPr>
          <w:rFonts w:ascii="Times New Roman" w:hAnsi="Times New Roman" w:cs="Times New Roman"/>
          <w:noProof/>
          <w:sz w:val="24"/>
          <w:szCs w:val="24"/>
        </w:rPr>
        <w:lastRenderedPageBreak/>
        <w:t>28.</w:t>
      </w:r>
      <w:r w:rsidRPr="00516AC8">
        <w:rPr>
          <w:rFonts w:ascii="Times New Roman" w:hAnsi="Times New Roman" w:cs="Times New Roman"/>
          <w:noProof/>
          <w:sz w:val="24"/>
          <w:szCs w:val="24"/>
        </w:rPr>
        <w:tab/>
        <w:t xml:space="preserve">Hanefeld M. Pharmacokinetics and clinical efficacy of pioglitazone. </w:t>
      </w:r>
      <w:r w:rsidRPr="00516AC8">
        <w:rPr>
          <w:rFonts w:ascii="Times New Roman" w:hAnsi="Times New Roman" w:cs="Times New Roman"/>
          <w:i/>
          <w:iCs/>
          <w:noProof/>
          <w:sz w:val="24"/>
          <w:szCs w:val="24"/>
        </w:rPr>
        <w:t>Int. J. Clin. Pract.</w:t>
      </w:r>
      <w:r w:rsidRPr="00516AC8">
        <w:rPr>
          <w:rFonts w:ascii="Times New Roman" w:hAnsi="Times New Roman" w:cs="Times New Roman"/>
          <w:b/>
          <w:bCs/>
          <w:noProof/>
          <w:sz w:val="24"/>
          <w:szCs w:val="24"/>
        </w:rPr>
        <w:t>121</w:t>
      </w:r>
      <w:r w:rsidRPr="00516AC8">
        <w:rPr>
          <w:rFonts w:ascii="Times New Roman" w:hAnsi="Times New Roman" w:cs="Times New Roman"/>
          <w:noProof/>
          <w:sz w:val="24"/>
          <w:szCs w:val="24"/>
        </w:rPr>
        <w:t>, 19–25 (2001).</w:t>
      </w:r>
    </w:p>
    <w:p w:rsidR="00B55EC6" w:rsidRPr="00490E09" w:rsidRDefault="00227D05" w:rsidP="00F344CB">
      <w:pPr>
        <w:jc w:val="both"/>
        <w:rPr>
          <w:rFonts w:ascii="Times New Roman" w:hAnsi="Times New Roman" w:cs="Times New Roman"/>
          <w:sz w:val="24"/>
          <w:szCs w:val="24"/>
        </w:rPr>
      </w:pPr>
      <w:r w:rsidRPr="00490E09">
        <w:rPr>
          <w:rFonts w:ascii="Times New Roman" w:hAnsi="Times New Roman" w:cs="Times New Roman"/>
          <w:sz w:val="24"/>
          <w:szCs w:val="24"/>
        </w:rPr>
        <w:fldChar w:fldCharType="end"/>
      </w:r>
    </w:p>
    <w:sectPr w:rsidR="00B55EC6" w:rsidRPr="00490E09" w:rsidSect="0081240C">
      <w:pgSz w:w="16838" w:h="11906" w:orient="landscape"/>
      <w:pgMar w:top="1440" w:right="1440" w:bottom="1440" w:left="1440" w:header="709" w:footer="709" w:gutter="0"/>
      <w:cols w:space="708"/>
      <w:docGrid w:linePitch="360"/>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ex:commentExtensible w16cex:durableId="224DA607" w16cex:dateUtc="2020-04-24T12:23:00Z"/>
  <w16cex:commentExtensible w16cex:durableId="224DB313" w16cex:dateUtc="2020-04-24T13:18:00Z"/>
  <w16cex:commentExtensible w16cex:durableId="224DDFE6" w16cex:dateUtc="2020-04-24T16:30:00Z"/>
  <w16cex:commentExtensible w16cex:durableId="224DE013" w16cex:dateUtc="2020-04-24T16:30:00Z"/>
  <w16cex:commentExtensible w16cex:durableId="224DE022" w16cex:dateUtc="2020-04-24T16:31:00Z"/>
  <w16cex:commentExtensible w16cex:durableId="224DE048" w16cex:dateUtc="2020-04-24T16:31:00Z"/>
  <w16cex:commentExtensible w16cex:durableId="224DE05D" w16cex:dateUtc="2020-04-24T16:31:00Z"/>
  <w16cex:commentExtensible w16cex:durableId="224DE0C8" w16cex:dateUtc="2020-04-24T16:33: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id:commentId w16cid:paraId="611AD402" w16cid:durableId="224DA607"/>
  <w16cid:commentId w16cid:paraId="5DB8B3F3" w16cid:durableId="224DB313"/>
  <w16cid:commentId w16cid:paraId="76C94AA5" w16cid:durableId="224DDFE6"/>
  <w16cid:commentId w16cid:paraId="6740D2A5" w16cid:durableId="224DE013"/>
  <w16cid:commentId w16cid:paraId="704688EA" w16cid:durableId="224DE022"/>
  <w16cid:commentId w16cid:paraId="78A18685" w16cid:durableId="224DE048"/>
  <w16cid:commentId w16cid:paraId="2A11C306" w16cid:durableId="224DE05D"/>
  <w16cid:commentId w16cid:paraId="1B7C3B1B" w16cid:durableId="224DE0C8"/>
</w16cid:commentsIds>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CE3EB8" w:rsidRDefault="00CE3EB8" w:rsidP="00925388">
      <w:pPr>
        <w:spacing w:after="0" w:line="240" w:lineRule="auto"/>
      </w:pPr>
      <w:r>
        <w:separator/>
      </w:r>
    </w:p>
  </w:endnote>
  <w:endnote w:type="continuationSeparator" w:id="1">
    <w:p w:rsidR="00CE3EB8" w:rsidRDefault="00CE3EB8" w:rsidP="00925388">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Mangal">
    <w:altName w:val="Courier New"/>
    <w:panose1 w:val="00000400000000000000"/>
    <w:charset w:val="01"/>
    <w:family w:val="roman"/>
    <w:notTrueType/>
    <w:pitch w:val="variable"/>
    <w:sig w:usb0="00002000" w:usb1="00000000" w:usb2="00000000" w:usb3="00000000" w:csb0="00000000" w:csb1="00000000"/>
  </w:font>
  <w:font w:name="Tahoma">
    <w:panose1 w:val="020B0604030504040204"/>
    <w:charset w:val="00"/>
    <w:family w:val="swiss"/>
    <w:pitch w:val="variable"/>
    <w:sig w:usb0="E1002EFF" w:usb1="C000605B" w:usb2="00000029" w:usb3="00000000" w:csb0="000101FF" w:csb1="00000000"/>
  </w:font>
  <w:font w:name="Cambria Math">
    <w:panose1 w:val="02040503050406030204"/>
    <w:charset w:val="00"/>
    <w:family w:val="roman"/>
    <w:pitch w:val="variable"/>
    <w:sig w:usb0="E00006FF" w:usb1="420024FF" w:usb2="02000000" w:usb3="00000000" w:csb0="0000019F" w:csb1="00000000"/>
  </w:font>
  <w:font w:name="Calibri Light">
    <w:altName w:val="Arial"/>
    <w:panose1 w:val="020F0302020204030204"/>
    <w:charset w:val="00"/>
    <w:family w:val="swiss"/>
    <w:pitch w:val="variable"/>
    <w:sig w:usb0="E4002EFF" w:usb1="C000247B" w:usb2="00000009" w:usb3="00000000" w:csb0="0000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CE3EB8" w:rsidRDefault="00CE3EB8" w:rsidP="00925388">
      <w:pPr>
        <w:spacing w:after="0" w:line="240" w:lineRule="auto"/>
      </w:pPr>
      <w:r>
        <w:separator/>
      </w:r>
    </w:p>
  </w:footnote>
  <w:footnote w:type="continuationSeparator" w:id="1">
    <w:p w:rsidR="00CE3EB8" w:rsidRDefault="00CE3EB8" w:rsidP="00925388">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4C69DE"/>
    <w:multiLevelType w:val="hybridMultilevel"/>
    <w:tmpl w:val="950A0B5A"/>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
    <w:nsid w:val="06C1385C"/>
    <w:multiLevelType w:val="hybridMultilevel"/>
    <w:tmpl w:val="B8A64DEE"/>
    <w:lvl w:ilvl="0" w:tplc="6A34E22E">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nsid w:val="0DED6114"/>
    <w:multiLevelType w:val="hybridMultilevel"/>
    <w:tmpl w:val="1A685F7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nsid w:val="13A27037"/>
    <w:multiLevelType w:val="hybridMultilevel"/>
    <w:tmpl w:val="B9F214CC"/>
    <w:lvl w:ilvl="0" w:tplc="C51A00B6">
      <w:start w:val="1"/>
      <w:numFmt w:val="upperLetter"/>
      <w:lvlText w:val="%1."/>
      <w:lvlJc w:val="left"/>
      <w:pPr>
        <w:ind w:left="1069" w:hanging="360"/>
      </w:pPr>
      <w:rPr>
        <w:rFonts w:hint="default"/>
      </w:rPr>
    </w:lvl>
    <w:lvl w:ilvl="1" w:tplc="40090019" w:tentative="1">
      <w:start w:val="1"/>
      <w:numFmt w:val="lowerLetter"/>
      <w:lvlText w:val="%2."/>
      <w:lvlJc w:val="left"/>
      <w:pPr>
        <w:ind w:left="1789" w:hanging="360"/>
      </w:pPr>
    </w:lvl>
    <w:lvl w:ilvl="2" w:tplc="4009001B" w:tentative="1">
      <w:start w:val="1"/>
      <w:numFmt w:val="lowerRoman"/>
      <w:lvlText w:val="%3."/>
      <w:lvlJc w:val="right"/>
      <w:pPr>
        <w:ind w:left="2509" w:hanging="180"/>
      </w:pPr>
    </w:lvl>
    <w:lvl w:ilvl="3" w:tplc="4009000F" w:tentative="1">
      <w:start w:val="1"/>
      <w:numFmt w:val="decimal"/>
      <w:lvlText w:val="%4."/>
      <w:lvlJc w:val="left"/>
      <w:pPr>
        <w:ind w:left="3229" w:hanging="360"/>
      </w:pPr>
    </w:lvl>
    <w:lvl w:ilvl="4" w:tplc="40090019" w:tentative="1">
      <w:start w:val="1"/>
      <w:numFmt w:val="lowerLetter"/>
      <w:lvlText w:val="%5."/>
      <w:lvlJc w:val="left"/>
      <w:pPr>
        <w:ind w:left="3949" w:hanging="360"/>
      </w:pPr>
    </w:lvl>
    <w:lvl w:ilvl="5" w:tplc="4009001B" w:tentative="1">
      <w:start w:val="1"/>
      <w:numFmt w:val="lowerRoman"/>
      <w:lvlText w:val="%6."/>
      <w:lvlJc w:val="right"/>
      <w:pPr>
        <w:ind w:left="4669" w:hanging="180"/>
      </w:pPr>
    </w:lvl>
    <w:lvl w:ilvl="6" w:tplc="4009000F" w:tentative="1">
      <w:start w:val="1"/>
      <w:numFmt w:val="decimal"/>
      <w:lvlText w:val="%7."/>
      <w:lvlJc w:val="left"/>
      <w:pPr>
        <w:ind w:left="5389" w:hanging="360"/>
      </w:pPr>
    </w:lvl>
    <w:lvl w:ilvl="7" w:tplc="40090019" w:tentative="1">
      <w:start w:val="1"/>
      <w:numFmt w:val="lowerLetter"/>
      <w:lvlText w:val="%8."/>
      <w:lvlJc w:val="left"/>
      <w:pPr>
        <w:ind w:left="6109" w:hanging="360"/>
      </w:pPr>
    </w:lvl>
    <w:lvl w:ilvl="8" w:tplc="4009001B" w:tentative="1">
      <w:start w:val="1"/>
      <w:numFmt w:val="lowerRoman"/>
      <w:lvlText w:val="%9."/>
      <w:lvlJc w:val="right"/>
      <w:pPr>
        <w:ind w:left="6829" w:hanging="180"/>
      </w:pPr>
    </w:lvl>
  </w:abstractNum>
  <w:abstractNum w:abstractNumId="4">
    <w:nsid w:val="1A35078E"/>
    <w:multiLevelType w:val="hybridMultilevel"/>
    <w:tmpl w:val="03ECB4A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31AD0710"/>
    <w:multiLevelType w:val="hybridMultilevel"/>
    <w:tmpl w:val="5AB084FE"/>
    <w:lvl w:ilvl="0" w:tplc="40090001">
      <w:start w:val="1"/>
      <w:numFmt w:val="bullet"/>
      <w:lvlText w:val=""/>
      <w:lvlJc w:val="left"/>
      <w:pPr>
        <w:ind w:left="720" w:hanging="360"/>
      </w:pPr>
      <w:rPr>
        <w:rFonts w:ascii="Symbol" w:hAnsi="Symbol" w:hint="default"/>
      </w:rPr>
    </w:lvl>
    <w:lvl w:ilvl="1" w:tplc="40090003">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6">
    <w:nsid w:val="35FD6CEC"/>
    <w:multiLevelType w:val="hybridMultilevel"/>
    <w:tmpl w:val="FCC25A22"/>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7">
    <w:nsid w:val="413B4161"/>
    <w:multiLevelType w:val="hybridMultilevel"/>
    <w:tmpl w:val="89E0F7CC"/>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8">
    <w:nsid w:val="48686F49"/>
    <w:multiLevelType w:val="hybridMultilevel"/>
    <w:tmpl w:val="D646DF90"/>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9">
    <w:nsid w:val="4D660051"/>
    <w:multiLevelType w:val="hybridMultilevel"/>
    <w:tmpl w:val="ADF8A3B4"/>
    <w:lvl w:ilvl="0" w:tplc="40090001">
      <w:start w:val="1"/>
      <w:numFmt w:val="bullet"/>
      <w:lvlText w:val=""/>
      <w:lvlJc w:val="left"/>
      <w:pPr>
        <w:ind w:left="720" w:hanging="360"/>
      </w:pPr>
      <w:rPr>
        <w:rFonts w:ascii="Symbol" w:hAnsi="Symbol" w:hint="default"/>
      </w:rPr>
    </w:lvl>
    <w:lvl w:ilvl="1" w:tplc="40090003">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0">
    <w:nsid w:val="4F8B5770"/>
    <w:multiLevelType w:val="hybridMultilevel"/>
    <w:tmpl w:val="B8A64DEE"/>
    <w:lvl w:ilvl="0" w:tplc="6A34E22E">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
    <w:nsid w:val="524A2633"/>
    <w:multiLevelType w:val="hybridMultilevel"/>
    <w:tmpl w:val="7E74969C"/>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2">
    <w:nsid w:val="5ABF22A2"/>
    <w:multiLevelType w:val="multilevel"/>
    <w:tmpl w:val="EBF25908"/>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eastAsia="Calibri" w:hint="default"/>
        <w:color w:val="000000"/>
        <w:sz w:val="22"/>
      </w:rPr>
    </w:lvl>
    <w:lvl w:ilvl="2">
      <w:start w:val="1"/>
      <w:numFmt w:val="decimal"/>
      <w:isLgl/>
      <w:lvlText w:val="%1.%2.%3."/>
      <w:lvlJc w:val="left"/>
      <w:pPr>
        <w:ind w:left="1800" w:hanging="720"/>
      </w:pPr>
      <w:rPr>
        <w:rFonts w:eastAsia="Calibri" w:hint="default"/>
        <w:color w:val="000000"/>
        <w:sz w:val="22"/>
      </w:rPr>
    </w:lvl>
    <w:lvl w:ilvl="3">
      <w:start w:val="1"/>
      <w:numFmt w:val="decimal"/>
      <w:isLgl/>
      <w:lvlText w:val="%1.%2.%3.%4."/>
      <w:lvlJc w:val="left"/>
      <w:pPr>
        <w:ind w:left="2160" w:hanging="720"/>
      </w:pPr>
      <w:rPr>
        <w:rFonts w:eastAsia="Calibri" w:hint="default"/>
        <w:color w:val="000000"/>
        <w:sz w:val="22"/>
      </w:rPr>
    </w:lvl>
    <w:lvl w:ilvl="4">
      <w:start w:val="1"/>
      <w:numFmt w:val="decimal"/>
      <w:isLgl/>
      <w:lvlText w:val="%1.%2.%3.%4.%5."/>
      <w:lvlJc w:val="left"/>
      <w:pPr>
        <w:ind w:left="2880" w:hanging="1080"/>
      </w:pPr>
      <w:rPr>
        <w:rFonts w:eastAsia="Calibri" w:hint="default"/>
        <w:color w:val="000000"/>
        <w:sz w:val="22"/>
      </w:rPr>
    </w:lvl>
    <w:lvl w:ilvl="5">
      <w:start w:val="1"/>
      <w:numFmt w:val="decimal"/>
      <w:isLgl/>
      <w:lvlText w:val="%1.%2.%3.%4.%5.%6."/>
      <w:lvlJc w:val="left"/>
      <w:pPr>
        <w:ind w:left="3240" w:hanging="1080"/>
      </w:pPr>
      <w:rPr>
        <w:rFonts w:eastAsia="Calibri" w:hint="default"/>
        <w:color w:val="000000"/>
        <w:sz w:val="22"/>
      </w:rPr>
    </w:lvl>
    <w:lvl w:ilvl="6">
      <w:start w:val="1"/>
      <w:numFmt w:val="decimal"/>
      <w:isLgl/>
      <w:lvlText w:val="%1.%2.%3.%4.%5.%6.%7."/>
      <w:lvlJc w:val="left"/>
      <w:pPr>
        <w:ind w:left="3960" w:hanging="1440"/>
      </w:pPr>
      <w:rPr>
        <w:rFonts w:eastAsia="Calibri" w:hint="default"/>
        <w:color w:val="000000"/>
        <w:sz w:val="22"/>
      </w:rPr>
    </w:lvl>
    <w:lvl w:ilvl="7">
      <w:start w:val="1"/>
      <w:numFmt w:val="decimal"/>
      <w:isLgl/>
      <w:lvlText w:val="%1.%2.%3.%4.%5.%6.%7.%8."/>
      <w:lvlJc w:val="left"/>
      <w:pPr>
        <w:ind w:left="4320" w:hanging="1440"/>
      </w:pPr>
      <w:rPr>
        <w:rFonts w:eastAsia="Calibri" w:hint="default"/>
        <w:color w:val="000000"/>
        <w:sz w:val="22"/>
      </w:rPr>
    </w:lvl>
    <w:lvl w:ilvl="8">
      <w:start w:val="1"/>
      <w:numFmt w:val="decimal"/>
      <w:isLgl/>
      <w:lvlText w:val="%1.%2.%3.%4.%5.%6.%7.%8.%9."/>
      <w:lvlJc w:val="left"/>
      <w:pPr>
        <w:ind w:left="5040" w:hanging="1800"/>
      </w:pPr>
      <w:rPr>
        <w:rFonts w:eastAsia="Calibri" w:hint="default"/>
        <w:color w:val="000000"/>
        <w:sz w:val="22"/>
      </w:rPr>
    </w:lvl>
  </w:abstractNum>
  <w:abstractNum w:abstractNumId="13">
    <w:nsid w:val="61BE0016"/>
    <w:multiLevelType w:val="hybridMultilevel"/>
    <w:tmpl w:val="FCC25A22"/>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4">
    <w:nsid w:val="64205A75"/>
    <w:multiLevelType w:val="hybridMultilevel"/>
    <w:tmpl w:val="0B007334"/>
    <w:lvl w:ilvl="0" w:tplc="36862D02">
      <w:start w:val="1"/>
      <w:numFmt w:val="lowerLetter"/>
      <w:lvlText w:val="%1)"/>
      <w:lvlJc w:val="left"/>
      <w:pPr>
        <w:ind w:left="1180" w:hanging="360"/>
      </w:pPr>
      <w:rPr>
        <w:rFonts w:hint="default"/>
      </w:rPr>
    </w:lvl>
    <w:lvl w:ilvl="1" w:tplc="04090019" w:tentative="1">
      <w:start w:val="1"/>
      <w:numFmt w:val="lowerLetter"/>
      <w:lvlText w:val="%2."/>
      <w:lvlJc w:val="left"/>
      <w:pPr>
        <w:ind w:left="1900" w:hanging="360"/>
      </w:pPr>
    </w:lvl>
    <w:lvl w:ilvl="2" w:tplc="0409001B" w:tentative="1">
      <w:start w:val="1"/>
      <w:numFmt w:val="lowerRoman"/>
      <w:lvlText w:val="%3."/>
      <w:lvlJc w:val="right"/>
      <w:pPr>
        <w:ind w:left="2620" w:hanging="180"/>
      </w:pPr>
    </w:lvl>
    <w:lvl w:ilvl="3" w:tplc="0409000F" w:tentative="1">
      <w:start w:val="1"/>
      <w:numFmt w:val="decimal"/>
      <w:lvlText w:val="%4."/>
      <w:lvlJc w:val="left"/>
      <w:pPr>
        <w:ind w:left="3340" w:hanging="360"/>
      </w:pPr>
    </w:lvl>
    <w:lvl w:ilvl="4" w:tplc="04090019" w:tentative="1">
      <w:start w:val="1"/>
      <w:numFmt w:val="lowerLetter"/>
      <w:lvlText w:val="%5."/>
      <w:lvlJc w:val="left"/>
      <w:pPr>
        <w:ind w:left="4060" w:hanging="360"/>
      </w:pPr>
    </w:lvl>
    <w:lvl w:ilvl="5" w:tplc="0409001B" w:tentative="1">
      <w:start w:val="1"/>
      <w:numFmt w:val="lowerRoman"/>
      <w:lvlText w:val="%6."/>
      <w:lvlJc w:val="right"/>
      <w:pPr>
        <w:ind w:left="4780" w:hanging="180"/>
      </w:pPr>
    </w:lvl>
    <w:lvl w:ilvl="6" w:tplc="0409000F" w:tentative="1">
      <w:start w:val="1"/>
      <w:numFmt w:val="decimal"/>
      <w:lvlText w:val="%7."/>
      <w:lvlJc w:val="left"/>
      <w:pPr>
        <w:ind w:left="5500" w:hanging="360"/>
      </w:pPr>
    </w:lvl>
    <w:lvl w:ilvl="7" w:tplc="04090019" w:tentative="1">
      <w:start w:val="1"/>
      <w:numFmt w:val="lowerLetter"/>
      <w:lvlText w:val="%8."/>
      <w:lvlJc w:val="left"/>
      <w:pPr>
        <w:ind w:left="6220" w:hanging="360"/>
      </w:pPr>
    </w:lvl>
    <w:lvl w:ilvl="8" w:tplc="0409001B" w:tentative="1">
      <w:start w:val="1"/>
      <w:numFmt w:val="lowerRoman"/>
      <w:lvlText w:val="%9."/>
      <w:lvlJc w:val="right"/>
      <w:pPr>
        <w:ind w:left="6940" w:hanging="180"/>
      </w:pPr>
    </w:lvl>
  </w:abstractNum>
  <w:abstractNum w:abstractNumId="15">
    <w:nsid w:val="7BB9498B"/>
    <w:multiLevelType w:val="multilevel"/>
    <w:tmpl w:val="EBF25908"/>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eastAsia="Calibri" w:hint="default"/>
        <w:color w:val="000000"/>
        <w:sz w:val="22"/>
      </w:rPr>
    </w:lvl>
    <w:lvl w:ilvl="2">
      <w:start w:val="1"/>
      <w:numFmt w:val="decimal"/>
      <w:isLgl/>
      <w:lvlText w:val="%1.%2.%3."/>
      <w:lvlJc w:val="left"/>
      <w:pPr>
        <w:ind w:left="1800" w:hanging="720"/>
      </w:pPr>
      <w:rPr>
        <w:rFonts w:eastAsia="Calibri" w:hint="default"/>
        <w:color w:val="000000"/>
        <w:sz w:val="22"/>
      </w:rPr>
    </w:lvl>
    <w:lvl w:ilvl="3">
      <w:start w:val="1"/>
      <w:numFmt w:val="decimal"/>
      <w:isLgl/>
      <w:lvlText w:val="%1.%2.%3.%4."/>
      <w:lvlJc w:val="left"/>
      <w:pPr>
        <w:ind w:left="2160" w:hanging="720"/>
      </w:pPr>
      <w:rPr>
        <w:rFonts w:eastAsia="Calibri" w:hint="default"/>
        <w:color w:val="000000"/>
        <w:sz w:val="22"/>
      </w:rPr>
    </w:lvl>
    <w:lvl w:ilvl="4">
      <w:start w:val="1"/>
      <w:numFmt w:val="decimal"/>
      <w:isLgl/>
      <w:lvlText w:val="%1.%2.%3.%4.%5."/>
      <w:lvlJc w:val="left"/>
      <w:pPr>
        <w:ind w:left="2880" w:hanging="1080"/>
      </w:pPr>
      <w:rPr>
        <w:rFonts w:eastAsia="Calibri" w:hint="default"/>
        <w:color w:val="000000"/>
        <w:sz w:val="22"/>
      </w:rPr>
    </w:lvl>
    <w:lvl w:ilvl="5">
      <w:start w:val="1"/>
      <w:numFmt w:val="decimal"/>
      <w:isLgl/>
      <w:lvlText w:val="%1.%2.%3.%4.%5.%6."/>
      <w:lvlJc w:val="left"/>
      <w:pPr>
        <w:ind w:left="3240" w:hanging="1080"/>
      </w:pPr>
      <w:rPr>
        <w:rFonts w:eastAsia="Calibri" w:hint="default"/>
        <w:color w:val="000000"/>
        <w:sz w:val="22"/>
      </w:rPr>
    </w:lvl>
    <w:lvl w:ilvl="6">
      <w:start w:val="1"/>
      <w:numFmt w:val="decimal"/>
      <w:isLgl/>
      <w:lvlText w:val="%1.%2.%3.%4.%5.%6.%7."/>
      <w:lvlJc w:val="left"/>
      <w:pPr>
        <w:ind w:left="3960" w:hanging="1440"/>
      </w:pPr>
      <w:rPr>
        <w:rFonts w:eastAsia="Calibri" w:hint="default"/>
        <w:color w:val="000000"/>
        <w:sz w:val="22"/>
      </w:rPr>
    </w:lvl>
    <w:lvl w:ilvl="7">
      <w:start w:val="1"/>
      <w:numFmt w:val="decimal"/>
      <w:isLgl/>
      <w:lvlText w:val="%1.%2.%3.%4.%5.%6.%7.%8."/>
      <w:lvlJc w:val="left"/>
      <w:pPr>
        <w:ind w:left="4320" w:hanging="1440"/>
      </w:pPr>
      <w:rPr>
        <w:rFonts w:eastAsia="Calibri" w:hint="default"/>
        <w:color w:val="000000"/>
        <w:sz w:val="22"/>
      </w:rPr>
    </w:lvl>
    <w:lvl w:ilvl="8">
      <w:start w:val="1"/>
      <w:numFmt w:val="decimal"/>
      <w:isLgl/>
      <w:lvlText w:val="%1.%2.%3.%4.%5.%6.%7.%8.%9."/>
      <w:lvlJc w:val="left"/>
      <w:pPr>
        <w:ind w:left="5040" w:hanging="1800"/>
      </w:pPr>
      <w:rPr>
        <w:rFonts w:eastAsia="Calibri" w:hint="default"/>
        <w:color w:val="000000"/>
        <w:sz w:val="22"/>
      </w:rPr>
    </w:lvl>
  </w:abstractNum>
  <w:num w:numId="1">
    <w:abstractNumId w:val="7"/>
  </w:num>
  <w:num w:numId="2">
    <w:abstractNumId w:val="5"/>
  </w:num>
  <w:num w:numId="3">
    <w:abstractNumId w:val="12"/>
  </w:num>
  <w:num w:numId="4">
    <w:abstractNumId w:val="8"/>
  </w:num>
  <w:num w:numId="5">
    <w:abstractNumId w:val="0"/>
  </w:num>
  <w:num w:numId="6">
    <w:abstractNumId w:val="3"/>
  </w:num>
  <w:num w:numId="7">
    <w:abstractNumId w:val="6"/>
  </w:num>
  <w:num w:numId="8">
    <w:abstractNumId w:val="11"/>
  </w:num>
  <w:num w:numId="9">
    <w:abstractNumId w:val="9"/>
  </w:num>
  <w:num w:numId="10">
    <w:abstractNumId w:val="2"/>
  </w:num>
  <w:num w:numId="11">
    <w:abstractNumId w:val="1"/>
  </w:num>
  <w:num w:numId="12">
    <w:abstractNumId w:val="4"/>
  </w:num>
  <w:num w:numId="13">
    <w:abstractNumId w:val="14"/>
  </w:num>
  <w:num w:numId="14">
    <w:abstractNumId w:val="10"/>
  </w:num>
  <w:num w:numId="15">
    <w:abstractNumId w:val="15"/>
  </w:num>
  <w:num w:numId="16">
    <w:abstractNumId w:val="1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drawingGridHorizontalSpacing w:val="110"/>
  <w:displayHorizontalDrawingGridEvery w:val="2"/>
  <w:characterSpacingControl w:val="doNotCompress"/>
  <w:hdrShapeDefaults>
    <o:shapedefaults v:ext="edit" spidmax="5122"/>
  </w:hdrShapeDefaults>
  <w:footnotePr>
    <w:footnote w:id="0"/>
    <w:footnote w:id="1"/>
  </w:footnotePr>
  <w:endnotePr>
    <w:endnote w:id="0"/>
    <w:endnote w:id="1"/>
  </w:endnotePr>
  <w:compat/>
  <w:rsids>
    <w:rsidRoot w:val="00F30603"/>
    <w:rsid w:val="000003B3"/>
    <w:rsid w:val="000027C4"/>
    <w:rsid w:val="00002FB2"/>
    <w:rsid w:val="0002141A"/>
    <w:rsid w:val="00037EF0"/>
    <w:rsid w:val="000469AE"/>
    <w:rsid w:val="00051D13"/>
    <w:rsid w:val="00054F15"/>
    <w:rsid w:val="00056648"/>
    <w:rsid w:val="000715EC"/>
    <w:rsid w:val="00082574"/>
    <w:rsid w:val="00085FC6"/>
    <w:rsid w:val="000866A0"/>
    <w:rsid w:val="00087896"/>
    <w:rsid w:val="000B62FD"/>
    <w:rsid w:val="000D27CC"/>
    <w:rsid w:val="000E36A3"/>
    <w:rsid w:val="000E4524"/>
    <w:rsid w:val="000F10C9"/>
    <w:rsid w:val="0010204B"/>
    <w:rsid w:val="00113C34"/>
    <w:rsid w:val="0011532E"/>
    <w:rsid w:val="00121722"/>
    <w:rsid w:val="00124A74"/>
    <w:rsid w:val="00127303"/>
    <w:rsid w:val="00134468"/>
    <w:rsid w:val="0018349A"/>
    <w:rsid w:val="001A5581"/>
    <w:rsid w:val="001B4916"/>
    <w:rsid w:val="001B6562"/>
    <w:rsid w:val="001C04C0"/>
    <w:rsid w:val="001D27D6"/>
    <w:rsid w:val="001D3E3E"/>
    <w:rsid w:val="001D60FA"/>
    <w:rsid w:val="001D64B9"/>
    <w:rsid w:val="001E63AA"/>
    <w:rsid w:val="001F1D26"/>
    <w:rsid w:val="00203D29"/>
    <w:rsid w:val="00204233"/>
    <w:rsid w:val="00205123"/>
    <w:rsid w:val="0021079F"/>
    <w:rsid w:val="00220A9B"/>
    <w:rsid w:val="00227D05"/>
    <w:rsid w:val="00230760"/>
    <w:rsid w:val="00240B8C"/>
    <w:rsid w:val="002430D3"/>
    <w:rsid w:val="00244620"/>
    <w:rsid w:val="00245191"/>
    <w:rsid w:val="00264D1C"/>
    <w:rsid w:val="002672CA"/>
    <w:rsid w:val="00273C6B"/>
    <w:rsid w:val="00273D04"/>
    <w:rsid w:val="00277C47"/>
    <w:rsid w:val="002863E4"/>
    <w:rsid w:val="002876AE"/>
    <w:rsid w:val="00292B89"/>
    <w:rsid w:val="00293ECA"/>
    <w:rsid w:val="002A40B8"/>
    <w:rsid w:val="002C4F02"/>
    <w:rsid w:val="002D2E16"/>
    <w:rsid w:val="002D3533"/>
    <w:rsid w:val="002D51FC"/>
    <w:rsid w:val="002D70F5"/>
    <w:rsid w:val="002E22DD"/>
    <w:rsid w:val="002E41F1"/>
    <w:rsid w:val="002E671F"/>
    <w:rsid w:val="002F18E5"/>
    <w:rsid w:val="002F5ED8"/>
    <w:rsid w:val="002F6128"/>
    <w:rsid w:val="003057BC"/>
    <w:rsid w:val="00311FFF"/>
    <w:rsid w:val="00325AD2"/>
    <w:rsid w:val="00332133"/>
    <w:rsid w:val="00336964"/>
    <w:rsid w:val="003443CC"/>
    <w:rsid w:val="0034453A"/>
    <w:rsid w:val="00345EB2"/>
    <w:rsid w:val="00347ACD"/>
    <w:rsid w:val="003641BD"/>
    <w:rsid w:val="00366907"/>
    <w:rsid w:val="00370943"/>
    <w:rsid w:val="0038376F"/>
    <w:rsid w:val="003850AF"/>
    <w:rsid w:val="00385350"/>
    <w:rsid w:val="00386B78"/>
    <w:rsid w:val="0039213F"/>
    <w:rsid w:val="0039513B"/>
    <w:rsid w:val="00397F98"/>
    <w:rsid w:val="003A083B"/>
    <w:rsid w:val="003B17E7"/>
    <w:rsid w:val="003C3C28"/>
    <w:rsid w:val="003D38B4"/>
    <w:rsid w:val="003D5E3D"/>
    <w:rsid w:val="003D6709"/>
    <w:rsid w:val="003E47B6"/>
    <w:rsid w:val="0040074F"/>
    <w:rsid w:val="004043C5"/>
    <w:rsid w:val="00415C10"/>
    <w:rsid w:val="00416217"/>
    <w:rsid w:val="00430065"/>
    <w:rsid w:val="004312F1"/>
    <w:rsid w:val="00450E1D"/>
    <w:rsid w:val="0045307A"/>
    <w:rsid w:val="00485BBD"/>
    <w:rsid w:val="00490E09"/>
    <w:rsid w:val="004951F2"/>
    <w:rsid w:val="004955BB"/>
    <w:rsid w:val="004A17B4"/>
    <w:rsid w:val="004A3652"/>
    <w:rsid w:val="004A4722"/>
    <w:rsid w:val="004A594B"/>
    <w:rsid w:val="004B3594"/>
    <w:rsid w:val="004C18AE"/>
    <w:rsid w:val="004C34C2"/>
    <w:rsid w:val="004D3A4C"/>
    <w:rsid w:val="004D7D4A"/>
    <w:rsid w:val="004F0EE3"/>
    <w:rsid w:val="004F23E7"/>
    <w:rsid w:val="00503278"/>
    <w:rsid w:val="00506F9E"/>
    <w:rsid w:val="005120B1"/>
    <w:rsid w:val="00512C5C"/>
    <w:rsid w:val="00516AC8"/>
    <w:rsid w:val="005202B0"/>
    <w:rsid w:val="00531BDF"/>
    <w:rsid w:val="00533486"/>
    <w:rsid w:val="00535F68"/>
    <w:rsid w:val="00537252"/>
    <w:rsid w:val="005416CD"/>
    <w:rsid w:val="00542895"/>
    <w:rsid w:val="00543008"/>
    <w:rsid w:val="00546749"/>
    <w:rsid w:val="005539BB"/>
    <w:rsid w:val="00554500"/>
    <w:rsid w:val="00557FF3"/>
    <w:rsid w:val="00566B15"/>
    <w:rsid w:val="00574DCD"/>
    <w:rsid w:val="00582E24"/>
    <w:rsid w:val="00590520"/>
    <w:rsid w:val="00594EAE"/>
    <w:rsid w:val="005A1959"/>
    <w:rsid w:val="005A4505"/>
    <w:rsid w:val="005C0804"/>
    <w:rsid w:val="006064FB"/>
    <w:rsid w:val="00621F31"/>
    <w:rsid w:val="00622486"/>
    <w:rsid w:val="006325F2"/>
    <w:rsid w:val="0063572E"/>
    <w:rsid w:val="00635810"/>
    <w:rsid w:val="0063719B"/>
    <w:rsid w:val="00640430"/>
    <w:rsid w:val="00656CB6"/>
    <w:rsid w:val="006657A1"/>
    <w:rsid w:val="00672693"/>
    <w:rsid w:val="006804FC"/>
    <w:rsid w:val="00680530"/>
    <w:rsid w:val="006805A1"/>
    <w:rsid w:val="00692C06"/>
    <w:rsid w:val="006943F7"/>
    <w:rsid w:val="0069546F"/>
    <w:rsid w:val="006A2E73"/>
    <w:rsid w:val="006B2E22"/>
    <w:rsid w:val="006C30B3"/>
    <w:rsid w:val="006C4A89"/>
    <w:rsid w:val="006D09E0"/>
    <w:rsid w:val="006D3347"/>
    <w:rsid w:val="006D7223"/>
    <w:rsid w:val="006E5654"/>
    <w:rsid w:val="006E7685"/>
    <w:rsid w:val="006F3B9C"/>
    <w:rsid w:val="00703272"/>
    <w:rsid w:val="00706DDB"/>
    <w:rsid w:val="00713F06"/>
    <w:rsid w:val="00722BB7"/>
    <w:rsid w:val="00723B9D"/>
    <w:rsid w:val="00730593"/>
    <w:rsid w:val="007312AC"/>
    <w:rsid w:val="00733941"/>
    <w:rsid w:val="00734AA0"/>
    <w:rsid w:val="007447AD"/>
    <w:rsid w:val="00747A2B"/>
    <w:rsid w:val="007530B2"/>
    <w:rsid w:val="0075454D"/>
    <w:rsid w:val="00756232"/>
    <w:rsid w:val="00772E32"/>
    <w:rsid w:val="007757B4"/>
    <w:rsid w:val="007A3286"/>
    <w:rsid w:val="007B028D"/>
    <w:rsid w:val="007B0F89"/>
    <w:rsid w:val="007B16B2"/>
    <w:rsid w:val="007B42C5"/>
    <w:rsid w:val="007C5941"/>
    <w:rsid w:val="007D50A3"/>
    <w:rsid w:val="007D5E3B"/>
    <w:rsid w:val="007D74B5"/>
    <w:rsid w:val="007E1219"/>
    <w:rsid w:val="007E2E44"/>
    <w:rsid w:val="007E2F2A"/>
    <w:rsid w:val="007E4B02"/>
    <w:rsid w:val="007F44F9"/>
    <w:rsid w:val="0081240C"/>
    <w:rsid w:val="0082096B"/>
    <w:rsid w:val="00825DCA"/>
    <w:rsid w:val="0083444C"/>
    <w:rsid w:val="00834DDA"/>
    <w:rsid w:val="00835AB1"/>
    <w:rsid w:val="00836EBD"/>
    <w:rsid w:val="00837D9C"/>
    <w:rsid w:val="00843F62"/>
    <w:rsid w:val="00845FA4"/>
    <w:rsid w:val="00851B61"/>
    <w:rsid w:val="00853643"/>
    <w:rsid w:val="00853A4D"/>
    <w:rsid w:val="00856694"/>
    <w:rsid w:val="00856E08"/>
    <w:rsid w:val="008576D2"/>
    <w:rsid w:val="008661D1"/>
    <w:rsid w:val="00876B42"/>
    <w:rsid w:val="00883543"/>
    <w:rsid w:val="00893464"/>
    <w:rsid w:val="0089613D"/>
    <w:rsid w:val="00897C18"/>
    <w:rsid w:val="008A700F"/>
    <w:rsid w:val="008B24A4"/>
    <w:rsid w:val="008B2FCA"/>
    <w:rsid w:val="008B42B2"/>
    <w:rsid w:val="008C7B79"/>
    <w:rsid w:val="008E3325"/>
    <w:rsid w:val="008E399F"/>
    <w:rsid w:val="008F24EC"/>
    <w:rsid w:val="008F3C67"/>
    <w:rsid w:val="008F5F3F"/>
    <w:rsid w:val="0090732B"/>
    <w:rsid w:val="00913495"/>
    <w:rsid w:val="00913C1B"/>
    <w:rsid w:val="00925388"/>
    <w:rsid w:val="009352B1"/>
    <w:rsid w:val="0096016C"/>
    <w:rsid w:val="009622AA"/>
    <w:rsid w:val="00964EAF"/>
    <w:rsid w:val="00965F51"/>
    <w:rsid w:val="0097533E"/>
    <w:rsid w:val="00975F60"/>
    <w:rsid w:val="0097778A"/>
    <w:rsid w:val="00981F37"/>
    <w:rsid w:val="00983BCC"/>
    <w:rsid w:val="0099301E"/>
    <w:rsid w:val="0099517D"/>
    <w:rsid w:val="0099714F"/>
    <w:rsid w:val="009A5B06"/>
    <w:rsid w:val="009A6350"/>
    <w:rsid w:val="009A6D18"/>
    <w:rsid w:val="009B373C"/>
    <w:rsid w:val="009C5C01"/>
    <w:rsid w:val="009D248F"/>
    <w:rsid w:val="009D56FB"/>
    <w:rsid w:val="009E3005"/>
    <w:rsid w:val="009E7F33"/>
    <w:rsid w:val="009F0F2C"/>
    <w:rsid w:val="009F201A"/>
    <w:rsid w:val="00A0303B"/>
    <w:rsid w:val="00A07597"/>
    <w:rsid w:val="00A15E2A"/>
    <w:rsid w:val="00A17EA5"/>
    <w:rsid w:val="00A3659F"/>
    <w:rsid w:val="00A40B69"/>
    <w:rsid w:val="00A4197E"/>
    <w:rsid w:val="00A41C06"/>
    <w:rsid w:val="00A47E1C"/>
    <w:rsid w:val="00A55693"/>
    <w:rsid w:val="00A61B28"/>
    <w:rsid w:val="00A7038E"/>
    <w:rsid w:val="00A84FFC"/>
    <w:rsid w:val="00A938C1"/>
    <w:rsid w:val="00A97D0D"/>
    <w:rsid w:val="00AA2D9D"/>
    <w:rsid w:val="00AB15C8"/>
    <w:rsid w:val="00AB5835"/>
    <w:rsid w:val="00AC53D5"/>
    <w:rsid w:val="00AD158D"/>
    <w:rsid w:val="00AD1C2A"/>
    <w:rsid w:val="00AE01B1"/>
    <w:rsid w:val="00AE0B9C"/>
    <w:rsid w:val="00AE13D7"/>
    <w:rsid w:val="00AE3BE4"/>
    <w:rsid w:val="00AE6AD6"/>
    <w:rsid w:val="00AE7659"/>
    <w:rsid w:val="00AF62E1"/>
    <w:rsid w:val="00B074CE"/>
    <w:rsid w:val="00B1014B"/>
    <w:rsid w:val="00B1428E"/>
    <w:rsid w:val="00B21944"/>
    <w:rsid w:val="00B2305F"/>
    <w:rsid w:val="00B25AC7"/>
    <w:rsid w:val="00B44C60"/>
    <w:rsid w:val="00B47D76"/>
    <w:rsid w:val="00B50BD4"/>
    <w:rsid w:val="00B524BB"/>
    <w:rsid w:val="00B55EC6"/>
    <w:rsid w:val="00B7046B"/>
    <w:rsid w:val="00B70852"/>
    <w:rsid w:val="00B73B1B"/>
    <w:rsid w:val="00B763AA"/>
    <w:rsid w:val="00B81B83"/>
    <w:rsid w:val="00B83B68"/>
    <w:rsid w:val="00B83E81"/>
    <w:rsid w:val="00B906E6"/>
    <w:rsid w:val="00B9083A"/>
    <w:rsid w:val="00B939B8"/>
    <w:rsid w:val="00B949EC"/>
    <w:rsid w:val="00BB2B68"/>
    <w:rsid w:val="00BB301F"/>
    <w:rsid w:val="00BC142F"/>
    <w:rsid w:val="00BC3001"/>
    <w:rsid w:val="00BD6908"/>
    <w:rsid w:val="00BF0A0D"/>
    <w:rsid w:val="00BF4A04"/>
    <w:rsid w:val="00C0645F"/>
    <w:rsid w:val="00C10D0C"/>
    <w:rsid w:val="00C202C7"/>
    <w:rsid w:val="00C21B6F"/>
    <w:rsid w:val="00C22DAE"/>
    <w:rsid w:val="00C237CE"/>
    <w:rsid w:val="00C303C7"/>
    <w:rsid w:val="00C45EBD"/>
    <w:rsid w:val="00C51C47"/>
    <w:rsid w:val="00C72FF8"/>
    <w:rsid w:val="00C75992"/>
    <w:rsid w:val="00C9145A"/>
    <w:rsid w:val="00C95DAB"/>
    <w:rsid w:val="00C9756D"/>
    <w:rsid w:val="00CA2047"/>
    <w:rsid w:val="00CA6121"/>
    <w:rsid w:val="00CB367C"/>
    <w:rsid w:val="00CB4B52"/>
    <w:rsid w:val="00CB73FD"/>
    <w:rsid w:val="00CC5F8E"/>
    <w:rsid w:val="00CE399E"/>
    <w:rsid w:val="00CE3EB8"/>
    <w:rsid w:val="00CF76E4"/>
    <w:rsid w:val="00D00B0E"/>
    <w:rsid w:val="00D21E93"/>
    <w:rsid w:val="00D2218B"/>
    <w:rsid w:val="00D24B55"/>
    <w:rsid w:val="00D4338B"/>
    <w:rsid w:val="00D53F94"/>
    <w:rsid w:val="00D57E8C"/>
    <w:rsid w:val="00D61217"/>
    <w:rsid w:val="00D6554E"/>
    <w:rsid w:val="00D70DDC"/>
    <w:rsid w:val="00D9422F"/>
    <w:rsid w:val="00DA762D"/>
    <w:rsid w:val="00DB5856"/>
    <w:rsid w:val="00DC2A3D"/>
    <w:rsid w:val="00DD4276"/>
    <w:rsid w:val="00DE2CA3"/>
    <w:rsid w:val="00DE416F"/>
    <w:rsid w:val="00DE7C03"/>
    <w:rsid w:val="00DF3C24"/>
    <w:rsid w:val="00DF6864"/>
    <w:rsid w:val="00DF7484"/>
    <w:rsid w:val="00E32105"/>
    <w:rsid w:val="00E3269C"/>
    <w:rsid w:val="00E368DC"/>
    <w:rsid w:val="00E437C0"/>
    <w:rsid w:val="00E53975"/>
    <w:rsid w:val="00E55D3A"/>
    <w:rsid w:val="00E60815"/>
    <w:rsid w:val="00E668A6"/>
    <w:rsid w:val="00E66C52"/>
    <w:rsid w:val="00E67191"/>
    <w:rsid w:val="00E67D4D"/>
    <w:rsid w:val="00E747C2"/>
    <w:rsid w:val="00E76A11"/>
    <w:rsid w:val="00E8172B"/>
    <w:rsid w:val="00E96042"/>
    <w:rsid w:val="00EA1874"/>
    <w:rsid w:val="00EA67C6"/>
    <w:rsid w:val="00EB1975"/>
    <w:rsid w:val="00EB5913"/>
    <w:rsid w:val="00EB6FC7"/>
    <w:rsid w:val="00EB730E"/>
    <w:rsid w:val="00EC20DE"/>
    <w:rsid w:val="00EC6E4C"/>
    <w:rsid w:val="00ED10F7"/>
    <w:rsid w:val="00EE0EB3"/>
    <w:rsid w:val="00EF3B8B"/>
    <w:rsid w:val="00EF561F"/>
    <w:rsid w:val="00F133DB"/>
    <w:rsid w:val="00F1688A"/>
    <w:rsid w:val="00F17977"/>
    <w:rsid w:val="00F26E35"/>
    <w:rsid w:val="00F3003B"/>
    <w:rsid w:val="00F30603"/>
    <w:rsid w:val="00F33277"/>
    <w:rsid w:val="00F3387B"/>
    <w:rsid w:val="00F344CB"/>
    <w:rsid w:val="00F50919"/>
    <w:rsid w:val="00F531FE"/>
    <w:rsid w:val="00FA0894"/>
    <w:rsid w:val="00FA3C5A"/>
    <w:rsid w:val="00FB0F25"/>
    <w:rsid w:val="00FB44E9"/>
    <w:rsid w:val="00FD1B3A"/>
    <w:rsid w:val="00FF663C"/>
    <w:rsid w:val="00FF6996"/>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lang w:val="en-IN" w:eastAsia="en-US" w:bidi="mr-IN"/>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B5856"/>
    <w:rPr>
      <w:rFonts w:cs="Mangal"/>
    </w:rPr>
  </w:style>
  <w:style w:type="paragraph" w:styleId="Heading3">
    <w:name w:val="heading 3"/>
    <w:basedOn w:val="Normal"/>
    <w:link w:val="Heading3Char"/>
    <w:uiPriority w:val="9"/>
    <w:qFormat/>
    <w:rsid w:val="00FF6996"/>
    <w:pPr>
      <w:spacing w:before="100" w:beforeAutospacing="1" w:after="100" w:afterAutospacing="1" w:line="240" w:lineRule="auto"/>
      <w:outlineLvl w:val="2"/>
    </w:pPr>
    <w:rPr>
      <w:rFonts w:ascii="Times New Roman" w:eastAsia="Times New Roman" w:hAnsi="Times New Roman" w:cs="Times New Roman"/>
      <w:b/>
      <w:bCs/>
      <w:sz w:val="27"/>
      <w:szCs w:val="27"/>
      <w:lang w:val="en-US"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70943"/>
    <w:pPr>
      <w:ind w:left="720"/>
      <w:contextualSpacing/>
    </w:pPr>
  </w:style>
  <w:style w:type="character" w:styleId="Hyperlink">
    <w:name w:val="Hyperlink"/>
    <w:basedOn w:val="DefaultParagraphFont"/>
    <w:uiPriority w:val="99"/>
    <w:unhideWhenUsed/>
    <w:rsid w:val="00554500"/>
    <w:rPr>
      <w:color w:val="0000FF"/>
      <w:u w:val="single"/>
    </w:rPr>
  </w:style>
  <w:style w:type="character" w:customStyle="1" w:styleId="UnresolvedMention1">
    <w:name w:val="Unresolved Mention1"/>
    <w:basedOn w:val="DefaultParagraphFont"/>
    <w:uiPriority w:val="99"/>
    <w:semiHidden/>
    <w:unhideWhenUsed/>
    <w:rsid w:val="00983BCC"/>
    <w:rPr>
      <w:color w:val="605E5C"/>
      <w:shd w:val="clear" w:color="auto" w:fill="E1DFDD"/>
    </w:rPr>
  </w:style>
  <w:style w:type="table" w:styleId="TableGrid">
    <w:name w:val="Table Grid"/>
    <w:basedOn w:val="TableNormal"/>
    <w:uiPriority w:val="39"/>
    <w:rsid w:val="00D21E9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Default">
    <w:name w:val="Default"/>
    <w:rsid w:val="00DE7C03"/>
    <w:pPr>
      <w:autoSpaceDE w:val="0"/>
      <w:autoSpaceDN w:val="0"/>
      <w:adjustRightInd w:val="0"/>
      <w:spacing w:after="0" w:line="240" w:lineRule="auto"/>
    </w:pPr>
    <w:rPr>
      <w:rFonts w:ascii="Times New Roman" w:hAnsi="Times New Roman" w:cs="Times New Roman"/>
      <w:color w:val="000000"/>
      <w:sz w:val="24"/>
      <w:szCs w:val="24"/>
      <w:lang w:val="en-US" w:bidi="ar-SA"/>
    </w:rPr>
  </w:style>
  <w:style w:type="paragraph" w:styleId="Header">
    <w:name w:val="header"/>
    <w:basedOn w:val="Normal"/>
    <w:link w:val="HeaderChar"/>
    <w:uiPriority w:val="99"/>
    <w:unhideWhenUsed/>
    <w:rsid w:val="00925388"/>
    <w:pPr>
      <w:tabs>
        <w:tab w:val="center" w:pos="4680"/>
        <w:tab w:val="right" w:pos="9360"/>
      </w:tabs>
      <w:spacing w:after="0" w:line="240" w:lineRule="auto"/>
    </w:pPr>
  </w:style>
  <w:style w:type="character" w:customStyle="1" w:styleId="HeaderChar">
    <w:name w:val="Header Char"/>
    <w:basedOn w:val="DefaultParagraphFont"/>
    <w:link w:val="Header"/>
    <w:uiPriority w:val="99"/>
    <w:rsid w:val="00925388"/>
    <w:rPr>
      <w:rFonts w:cs="Mangal"/>
    </w:rPr>
  </w:style>
  <w:style w:type="paragraph" w:styleId="Footer">
    <w:name w:val="footer"/>
    <w:basedOn w:val="Normal"/>
    <w:link w:val="FooterChar"/>
    <w:uiPriority w:val="99"/>
    <w:unhideWhenUsed/>
    <w:rsid w:val="00925388"/>
    <w:pPr>
      <w:tabs>
        <w:tab w:val="center" w:pos="4680"/>
        <w:tab w:val="right" w:pos="9360"/>
      </w:tabs>
      <w:spacing w:after="0" w:line="240" w:lineRule="auto"/>
    </w:pPr>
  </w:style>
  <w:style w:type="character" w:customStyle="1" w:styleId="FooterChar">
    <w:name w:val="Footer Char"/>
    <w:basedOn w:val="DefaultParagraphFont"/>
    <w:link w:val="Footer"/>
    <w:uiPriority w:val="99"/>
    <w:rsid w:val="00925388"/>
    <w:rPr>
      <w:rFonts w:cs="Mangal"/>
    </w:rPr>
  </w:style>
  <w:style w:type="paragraph" w:styleId="BalloonText">
    <w:name w:val="Balloon Text"/>
    <w:basedOn w:val="Normal"/>
    <w:link w:val="BalloonTextChar"/>
    <w:uiPriority w:val="99"/>
    <w:semiHidden/>
    <w:unhideWhenUsed/>
    <w:rsid w:val="007F44F9"/>
    <w:pPr>
      <w:spacing w:after="0" w:line="240" w:lineRule="auto"/>
    </w:pPr>
    <w:rPr>
      <w:rFonts w:ascii="Tahoma" w:hAnsi="Tahoma" w:cs="Tahoma"/>
      <w:sz w:val="16"/>
      <w:szCs w:val="14"/>
    </w:rPr>
  </w:style>
  <w:style w:type="character" w:customStyle="1" w:styleId="BalloonTextChar">
    <w:name w:val="Balloon Text Char"/>
    <w:basedOn w:val="DefaultParagraphFont"/>
    <w:link w:val="BalloonText"/>
    <w:uiPriority w:val="99"/>
    <w:semiHidden/>
    <w:rsid w:val="007F44F9"/>
    <w:rPr>
      <w:rFonts w:ascii="Tahoma" w:hAnsi="Tahoma" w:cs="Tahoma"/>
      <w:sz w:val="16"/>
      <w:szCs w:val="14"/>
    </w:rPr>
  </w:style>
  <w:style w:type="character" w:styleId="CommentReference">
    <w:name w:val="annotation reference"/>
    <w:basedOn w:val="DefaultParagraphFont"/>
    <w:uiPriority w:val="99"/>
    <w:semiHidden/>
    <w:unhideWhenUsed/>
    <w:rsid w:val="00037EF0"/>
    <w:rPr>
      <w:sz w:val="16"/>
      <w:szCs w:val="16"/>
    </w:rPr>
  </w:style>
  <w:style w:type="paragraph" w:styleId="CommentText">
    <w:name w:val="annotation text"/>
    <w:basedOn w:val="Normal"/>
    <w:link w:val="CommentTextChar"/>
    <w:uiPriority w:val="99"/>
    <w:semiHidden/>
    <w:unhideWhenUsed/>
    <w:rsid w:val="00037EF0"/>
    <w:pPr>
      <w:spacing w:line="240" w:lineRule="auto"/>
    </w:pPr>
    <w:rPr>
      <w:sz w:val="20"/>
      <w:szCs w:val="18"/>
    </w:rPr>
  </w:style>
  <w:style w:type="character" w:customStyle="1" w:styleId="CommentTextChar">
    <w:name w:val="Comment Text Char"/>
    <w:basedOn w:val="DefaultParagraphFont"/>
    <w:link w:val="CommentText"/>
    <w:uiPriority w:val="99"/>
    <w:semiHidden/>
    <w:rsid w:val="00037EF0"/>
    <w:rPr>
      <w:rFonts w:cs="Mangal"/>
      <w:sz w:val="20"/>
      <w:szCs w:val="18"/>
    </w:rPr>
  </w:style>
  <w:style w:type="character" w:styleId="FollowedHyperlink">
    <w:name w:val="FollowedHyperlink"/>
    <w:basedOn w:val="DefaultParagraphFont"/>
    <w:uiPriority w:val="99"/>
    <w:semiHidden/>
    <w:unhideWhenUsed/>
    <w:rsid w:val="00C9145A"/>
    <w:rPr>
      <w:color w:val="954F72" w:themeColor="followedHyperlink"/>
      <w:u w:val="single"/>
    </w:rPr>
  </w:style>
  <w:style w:type="paragraph" w:styleId="CommentSubject">
    <w:name w:val="annotation subject"/>
    <w:basedOn w:val="CommentText"/>
    <w:next w:val="CommentText"/>
    <w:link w:val="CommentSubjectChar"/>
    <w:uiPriority w:val="99"/>
    <w:semiHidden/>
    <w:unhideWhenUsed/>
    <w:rsid w:val="006D3347"/>
    <w:rPr>
      <w:b/>
      <w:bCs/>
    </w:rPr>
  </w:style>
  <w:style w:type="character" w:customStyle="1" w:styleId="CommentSubjectChar">
    <w:name w:val="Comment Subject Char"/>
    <w:basedOn w:val="CommentTextChar"/>
    <w:link w:val="CommentSubject"/>
    <w:uiPriority w:val="99"/>
    <w:semiHidden/>
    <w:rsid w:val="006D3347"/>
    <w:rPr>
      <w:rFonts w:cs="Mangal"/>
      <w:b/>
      <w:bCs/>
      <w:sz w:val="20"/>
      <w:szCs w:val="18"/>
    </w:rPr>
  </w:style>
  <w:style w:type="character" w:customStyle="1" w:styleId="Heading3Char">
    <w:name w:val="Heading 3 Char"/>
    <w:basedOn w:val="DefaultParagraphFont"/>
    <w:link w:val="Heading3"/>
    <w:uiPriority w:val="9"/>
    <w:rsid w:val="00FF6996"/>
    <w:rPr>
      <w:rFonts w:ascii="Times New Roman" w:eastAsia="Times New Roman" w:hAnsi="Times New Roman" w:cs="Times New Roman"/>
      <w:b/>
      <w:bCs/>
      <w:sz w:val="27"/>
      <w:szCs w:val="27"/>
      <w:lang w:val="en-US" w:bidi="ar-SA"/>
    </w:rPr>
  </w:style>
  <w:style w:type="table" w:customStyle="1" w:styleId="GridTable4-Accent51">
    <w:name w:val="Grid Table 4 - Accent 51"/>
    <w:basedOn w:val="TableNormal"/>
    <w:uiPriority w:val="49"/>
    <w:rsid w:val="00672693"/>
    <w:pPr>
      <w:spacing w:after="0" w:line="240" w:lineRule="auto"/>
    </w:pPr>
    <w:rPr>
      <w:rFonts w:eastAsiaTheme="minorEastAsia"/>
      <w:szCs w:val="22"/>
      <w:lang w:val="en-US" w:bidi="ar-SA"/>
    </w:rPr>
    <w:tblPr>
      <w:tblStyleRowBandSize w:val="1"/>
      <w:tblStyleColBandSize w:val="1"/>
      <w:tblInd w:w="0" w:type="dxa"/>
      <w:tblBorders>
        <w:top w:val="single" w:sz="4" w:space="0" w:color="9CC2E5" w:themeColor="accent5" w:themeTint="99"/>
        <w:left w:val="single" w:sz="4" w:space="0" w:color="9CC2E5" w:themeColor="accent5" w:themeTint="99"/>
        <w:bottom w:val="single" w:sz="4" w:space="0" w:color="9CC2E5" w:themeColor="accent5" w:themeTint="99"/>
        <w:right w:val="single" w:sz="4" w:space="0" w:color="9CC2E5" w:themeColor="accent5" w:themeTint="99"/>
        <w:insideH w:val="single" w:sz="4" w:space="0" w:color="9CC2E5" w:themeColor="accent5" w:themeTint="99"/>
        <w:insideV w:val="single" w:sz="4" w:space="0" w:color="9CC2E5" w:themeColor="accent5"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5B9BD5" w:themeColor="accent5"/>
          <w:left w:val="single" w:sz="4" w:space="0" w:color="5B9BD5" w:themeColor="accent5"/>
          <w:bottom w:val="single" w:sz="4" w:space="0" w:color="5B9BD5" w:themeColor="accent5"/>
          <w:right w:val="single" w:sz="4" w:space="0" w:color="5B9BD5" w:themeColor="accent5"/>
          <w:insideH w:val="nil"/>
          <w:insideV w:val="nil"/>
        </w:tcBorders>
        <w:shd w:val="clear" w:color="auto" w:fill="5B9BD5" w:themeFill="accent5"/>
      </w:tcPr>
    </w:tblStylePr>
    <w:tblStylePr w:type="lastRow">
      <w:rPr>
        <w:b/>
        <w:bCs/>
      </w:rPr>
      <w:tblPr/>
      <w:tcPr>
        <w:tcBorders>
          <w:top w:val="double" w:sz="4" w:space="0" w:color="5B9BD5" w:themeColor="accent5"/>
        </w:tcBorders>
      </w:tcPr>
    </w:tblStylePr>
    <w:tblStylePr w:type="firstCol">
      <w:rPr>
        <w:b/>
        <w:bCs/>
      </w:rPr>
    </w:tblStylePr>
    <w:tblStylePr w:type="lastCol">
      <w:rPr>
        <w:b/>
        <w:bCs/>
      </w:rPr>
    </w:tblStylePr>
    <w:tblStylePr w:type="band1Vert">
      <w:tblPr/>
      <w:tcPr>
        <w:shd w:val="clear" w:color="auto" w:fill="DEEAF6" w:themeFill="accent5" w:themeFillTint="33"/>
      </w:tcPr>
    </w:tblStylePr>
    <w:tblStylePr w:type="band1Horz">
      <w:tblPr/>
      <w:tcPr>
        <w:shd w:val="clear" w:color="auto" w:fill="DEEAF6" w:themeFill="accent5" w:themeFillTint="33"/>
      </w:tcPr>
    </w:tblStylePr>
  </w:style>
  <w:style w:type="table" w:customStyle="1" w:styleId="TableGrid1">
    <w:name w:val="Table Grid1"/>
    <w:basedOn w:val="TableNormal"/>
    <w:next w:val="TableGrid"/>
    <w:uiPriority w:val="39"/>
    <w:rsid w:val="00205123"/>
    <w:pPr>
      <w:spacing w:after="0" w:line="240" w:lineRule="auto"/>
    </w:pPr>
    <w:rPr>
      <w:szCs w:val="22"/>
      <w:lang w:val="en-US" w:bidi="gu-I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Caption">
    <w:name w:val="caption"/>
    <w:basedOn w:val="Normal"/>
    <w:next w:val="Normal"/>
    <w:uiPriority w:val="35"/>
    <w:unhideWhenUsed/>
    <w:qFormat/>
    <w:rsid w:val="00594EAE"/>
    <w:pPr>
      <w:spacing w:after="200" w:line="240" w:lineRule="auto"/>
    </w:pPr>
    <w:rPr>
      <w:b/>
      <w:bCs/>
      <w:color w:val="4472C4" w:themeColor="accent1"/>
      <w:sz w:val="18"/>
      <w:szCs w:val="16"/>
    </w:rPr>
  </w:style>
  <w:style w:type="table" w:customStyle="1" w:styleId="TableGrid2">
    <w:name w:val="Table Grid2"/>
    <w:basedOn w:val="TableNormal"/>
    <w:next w:val="TableGrid"/>
    <w:uiPriority w:val="39"/>
    <w:rsid w:val="00512C5C"/>
    <w:pPr>
      <w:spacing w:after="0" w:line="240" w:lineRule="auto"/>
    </w:pPr>
    <w:rPr>
      <w:szCs w:val="22"/>
      <w:lang w:val="en-US" w:bidi="ar-SA"/>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divs>
    <w:div w:id="396586414">
      <w:bodyDiv w:val="1"/>
      <w:marLeft w:val="0"/>
      <w:marRight w:val="0"/>
      <w:marTop w:val="0"/>
      <w:marBottom w:val="0"/>
      <w:divBdr>
        <w:top w:val="none" w:sz="0" w:space="0" w:color="auto"/>
        <w:left w:val="none" w:sz="0" w:space="0" w:color="auto"/>
        <w:bottom w:val="none" w:sz="0" w:space="0" w:color="auto"/>
        <w:right w:val="none" w:sz="0" w:space="0" w:color="auto"/>
      </w:divBdr>
    </w:div>
    <w:div w:id="421485994">
      <w:bodyDiv w:val="1"/>
      <w:marLeft w:val="0"/>
      <w:marRight w:val="0"/>
      <w:marTop w:val="0"/>
      <w:marBottom w:val="0"/>
      <w:divBdr>
        <w:top w:val="none" w:sz="0" w:space="0" w:color="auto"/>
        <w:left w:val="none" w:sz="0" w:space="0" w:color="auto"/>
        <w:bottom w:val="none" w:sz="0" w:space="0" w:color="auto"/>
        <w:right w:val="none" w:sz="0" w:space="0" w:color="auto"/>
      </w:divBdr>
      <w:divsChild>
        <w:div w:id="1669405198">
          <w:marLeft w:val="0"/>
          <w:marRight w:val="0"/>
          <w:marTop w:val="0"/>
          <w:marBottom w:val="0"/>
          <w:divBdr>
            <w:top w:val="none" w:sz="0" w:space="0" w:color="auto"/>
            <w:left w:val="none" w:sz="0" w:space="0" w:color="auto"/>
            <w:bottom w:val="none" w:sz="0" w:space="0" w:color="auto"/>
            <w:right w:val="none" w:sz="0" w:space="0" w:color="auto"/>
          </w:divBdr>
        </w:div>
      </w:divsChild>
    </w:div>
    <w:div w:id="1075513790">
      <w:bodyDiv w:val="1"/>
      <w:marLeft w:val="0"/>
      <w:marRight w:val="0"/>
      <w:marTop w:val="0"/>
      <w:marBottom w:val="0"/>
      <w:divBdr>
        <w:top w:val="none" w:sz="0" w:space="0" w:color="auto"/>
        <w:left w:val="none" w:sz="0" w:space="0" w:color="auto"/>
        <w:bottom w:val="none" w:sz="0" w:space="0" w:color="auto"/>
        <w:right w:val="none" w:sz="0" w:space="0" w:color="auto"/>
      </w:divBdr>
    </w:div>
    <w:div w:id="1136292621">
      <w:bodyDiv w:val="1"/>
      <w:marLeft w:val="0"/>
      <w:marRight w:val="0"/>
      <w:marTop w:val="0"/>
      <w:marBottom w:val="0"/>
      <w:divBdr>
        <w:top w:val="none" w:sz="0" w:space="0" w:color="auto"/>
        <w:left w:val="none" w:sz="0" w:space="0" w:color="auto"/>
        <w:bottom w:val="none" w:sz="0" w:space="0" w:color="auto"/>
        <w:right w:val="none" w:sz="0" w:space="0" w:color="auto"/>
      </w:divBdr>
    </w:div>
    <w:div w:id="1208494067">
      <w:bodyDiv w:val="1"/>
      <w:marLeft w:val="0"/>
      <w:marRight w:val="0"/>
      <w:marTop w:val="0"/>
      <w:marBottom w:val="0"/>
      <w:divBdr>
        <w:top w:val="none" w:sz="0" w:space="0" w:color="auto"/>
        <w:left w:val="none" w:sz="0" w:space="0" w:color="auto"/>
        <w:bottom w:val="none" w:sz="0" w:space="0" w:color="auto"/>
        <w:right w:val="none" w:sz="0" w:space="0" w:color="auto"/>
      </w:divBdr>
    </w:div>
    <w:div w:id="1212231283">
      <w:bodyDiv w:val="1"/>
      <w:marLeft w:val="0"/>
      <w:marRight w:val="0"/>
      <w:marTop w:val="0"/>
      <w:marBottom w:val="0"/>
      <w:divBdr>
        <w:top w:val="none" w:sz="0" w:space="0" w:color="auto"/>
        <w:left w:val="none" w:sz="0" w:space="0" w:color="auto"/>
        <w:bottom w:val="none" w:sz="0" w:space="0" w:color="auto"/>
        <w:right w:val="none" w:sz="0" w:space="0" w:color="auto"/>
      </w:divBdr>
      <w:divsChild>
        <w:div w:id="1956598938">
          <w:marLeft w:val="0"/>
          <w:marRight w:val="0"/>
          <w:marTop w:val="16"/>
          <w:marBottom w:val="16"/>
          <w:divBdr>
            <w:top w:val="none" w:sz="0" w:space="0" w:color="auto"/>
            <w:left w:val="none" w:sz="0" w:space="0" w:color="auto"/>
            <w:bottom w:val="none" w:sz="0" w:space="0" w:color="auto"/>
            <w:right w:val="none" w:sz="0" w:space="0" w:color="auto"/>
          </w:divBdr>
        </w:div>
      </w:divsChild>
    </w:div>
    <w:div w:id="1293904421">
      <w:bodyDiv w:val="1"/>
      <w:marLeft w:val="0"/>
      <w:marRight w:val="0"/>
      <w:marTop w:val="0"/>
      <w:marBottom w:val="0"/>
      <w:divBdr>
        <w:top w:val="none" w:sz="0" w:space="0" w:color="auto"/>
        <w:left w:val="none" w:sz="0" w:space="0" w:color="auto"/>
        <w:bottom w:val="none" w:sz="0" w:space="0" w:color="auto"/>
        <w:right w:val="none" w:sz="0" w:space="0" w:color="auto"/>
      </w:divBdr>
    </w:div>
    <w:div w:id="1548644998">
      <w:bodyDiv w:val="1"/>
      <w:marLeft w:val="0"/>
      <w:marRight w:val="0"/>
      <w:marTop w:val="0"/>
      <w:marBottom w:val="0"/>
      <w:divBdr>
        <w:top w:val="none" w:sz="0" w:space="0" w:color="auto"/>
        <w:left w:val="none" w:sz="0" w:space="0" w:color="auto"/>
        <w:bottom w:val="none" w:sz="0" w:space="0" w:color="auto"/>
        <w:right w:val="none" w:sz="0" w:space="0" w:color="auto"/>
      </w:divBdr>
      <w:divsChild>
        <w:div w:id="864830394">
          <w:marLeft w:val="0"/>
          <w:marRight w:val="0"/>
          <w:marTop w:val="0"/>
          <w:marBottom w:val="0"/>
          <w:divBdr>
            <w:top w:val="none" w:sz="0" w:space="0" w:color="auto"/>
            <w:left w:val="none" w:sz="0" w:space="0" w:color="auto"/>
            <w:bottom w:val="none" w:sz="0" w:space="0" w:color="auto"/>
            <w:right w:val="none" w:sz="0" w:space="0" w:color="auto"/>
          </w:divBdr>
        </w:div>
      </w:divsChild>
    </w:div>
    <w:div w:id="1668703512">
      <w:bodyDiv w:val="1"/>
      <w:marLeft w:val="0"/>
      <w:marRight w:val="0"/>
      <w:marTop w:val="0"/>
      <w:marBottom w:val="0"/>
      <w:divBdr>
        <w:top w:val="none" w:sz="0" w:space="0" w:color="auto"/>
        <w:left w:val="none" w:sz="0" w:space="0" w:color="auto"/>
        <w:bottom w:val="none" w:sz="0" w:space="0" w:color="auto"/>
        <w:right w:val="none" w:sz="0" w:space="0" w:color="auto"/>
      </w:divBdr>
    </w:div>
    <w:div w:id="19728557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bpatwardhan@gmail.com" TargetMode="External"/><Relationship Id="rId26" Type="http://schemas.microsoft.com/office/2016/09/relationships/commentsIds" Target="commentsIds.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 Id="rId27" Type="http://schemas.microsoft.com/office/2018/08/relationships/commentsExtensible" Target="commentsExtensi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D86F3B9-AA11-4D74-80AD-C5FEAC25E43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8</Pages>
  <Words>8859</Words>
  <Characters>50499</Characters>
  <Application>Microsoft Office Word</Application>
  <DocSecurity>0</DocSecurity>
  <Lines>420</Lines>
  <Paragraphs>118</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59240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Akash Saggam</dc:creator>
  <cp:lastModifiedBy>Swapnil</cp:lastModifiedBy>
  <cp:revision>13</cp:revision>
  <dcterms:created xsi:type="dcterms:W3CDTF">2020-04-29T18:41:00Z</dcterms:created>
  <dcterms:modified xsi:type="dcterms:W3CDTF">2020-05-15T05:56:00Z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http://www.zotero.org/styles/american-medical-association</vt:lpwstr>
  </property>
  <property fmtid="{D5CDD505-2E9C-101B-9397-08002B2CF9AE}" pid="3" name="Mendeley Recent Style Name 0_1">
    <vt:lpwstr>American Medical Association</vt:lpwstr>
  </property>
  <property fmtid="{D5CDD505-2E9C-101B-9397-08002B2CF9AE}" pid="4" name="Mendeley Recent Style Id 1_1">
    <vt:lpwstr>http://www.zotero.org/styles/american-political-science-association</vt:lpwstr>
  </property>
  <property fmtid="{D5CDD505-2E9C-101B-9397-08002B2CF9AE}" pid="5" name="Mendeley Recent Style Name 1_1">
    <vt:lpwstr>American Political Science Association</vt:lpwstr>
  </property>
  <property fmtid="{D5CDD505-2E9C-101B-9397-08002B2CF9AE}" pid="6" name="Mendeley Recent Style Id 2_1">
    <vt:lpwstr>http://www.zotero.org/styles/apa</vt:lpwstr>
  </property>
  <property fmtid="{D5CDD505-2E9C-101B-9397-08002B2CF9AE}" pid="7" name="Mendeley Recent Style Name 2_1">
    <vt:lpwstr>American Psychological Association 6th edition</vt:lpwstr>
  </property>
  <property fmtid="{D5CDD505-2E9C-101B-9397-08002B2CF9AE}" pid="8" name="Mendeley Recent Style Id 3_1">
    <vt:lpwstr>http://www.zotero.org/styles/chicago-author-date</vt:lpwstr>
  </property>
  <property fmtid="{D5CDD505-2E9C-101B-9397-08002B2CF9AE}" pid="9" name="Mendeley Recent Style Name 3_1">
    <vt:lpwstr>Chicago Manual of Style 17th edition (author-date)</vt:lpwstr>
  </property>
  <property fmtid="{D5CDD505-2E9C-101B-9397-08002B2CF9AE}" pid="10" name="Mendeley Recent Style Id 4_1">
    <vt:lpwstr>http://www.zotero.org/styles/ieee</vt:lpwstr>
  </property>
  <property fmtid="{D5CDD505-2E9C-101B-9397-08002B2CF9AE}" pid="11" name="Mendeley Recent Style Name 4_1">
    <vt:lpwstr>IEEE</vt:lpwstr>
  </property>
  <property fmtid="{D5CDD505-2E9C-101B-9397-08002B2CF9AE}" pid="12" name="Mendeley Recent Style Id 5_1">
    <vt:lpwstr>http://www.zotero.org/styles/journal-of-ethnopharmacology</vt:lpwstr>
  </property>
  <property fmtid="{D5CDD505-2E9C-101B-9397-08002B2CF9AE}" pid="13" name="Mendeley Recent Style Name 5_1">
    <vt:lpwstr>Journal of Ethnopharmacology</vt:lpwstr>
  </property>
  <property fmtid="{D5CDD505-2E9C-101B-9397-08002B2CF9AE}" pid="14" name="Mendeley Recent Style Id 6_1">
    <vt:lpwstr>http://www.zotero.org/styles/modern-humanities-research-association</vt:lpwstr>
  </property>
  <property fmtid="{D5CDD505-2E9C-101B-9397-08002B2CF9AE}" pid="15" name="Mendeley Recent Style Name 6_1">
    <vt:lpwstr>Modern Humanities Research Association 3rd edition (note with bibliography)</vt:lpwstr>
  </property>
  <property fmtid="{D5CDD505-2E9C-101B-9397-08002B2CF9AE}" pid="16" name="Mendeley Recent Style Id 7_1">
    <vt:lpwstr>http://www.zotero.org/styles/modern-language-association</vt:lpwstr>
  </property>
  <property fmtid="{D5CDD505-2E9C-101B-9397-08002B2CF9AE}" pid="17" name="Mendeley Recent Style Name 7_1">
    <vt:lpwstr>Modern Language Association 8th edition</vt:lpwstr>
  </property>
  <property fmtid="{D5CDD505-2E9C-101B-9397-08002B2CF9AE}" pid="18" name="Mendeley Recent Style Id 8_1">
    <vt:lpwstr>http://www.zotero.org/styles/nature</vt:lpwstr>
  </property>
  <property fmtid="{D5CDD505-2E9C-101B-9397-08002B2CF9AE}" pid="19" name="Mendeley Recent Style Name 8_1">
    <vt:lpwstr>Nature</vt:lpwstr>
  </property>
  <property fmtid="{D5CDD505-2E9C-101B-9397-08002B2CF9AE}" pid="20" name="Mendeley Recent Style Id 9_1">
    <vt:lpwstr>http://www.zotero.org/styles/vancouver</vt:lpwstr>
  </property>
  <property fmtid="{D5CDD505-2E9C-101B-9397-08002B2CF9AE}" pid="21" name="Mendeley Recent Style Name 9_1">
    <vt:lpwstr>Vancouver</vt:lpwstr>
  </property>
  <property fmtid="{D5CDD505-2E9C-101B-9397-08002B2CF9AE}" pid="22" name="Mendeley Document_1">
    <vt:lpwstr>True</vt:lpwstr>
  </property>
  <property fmtid="{D5CDD505-2E9C-101B-9397-08002B2CF9AE}" pid="23" name="Mendeley Unique User Id_1">
    <vt:lpwstr>b89d4cc2-4649-3a96-90f0-e1ee67a097bd</vt:lpwstr>
  </property>
  <property fmtid="{D5CDD505-2E9C-101B-9397-08002B2CF9AE}" pid="24" name="Mendeley Citation Style_1">
    <vt:lpwstr>http://www.zotero.org/styles/nature</vt:lpwstr>
  </property>
</Properties>
</file>