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061F" w:rsidRPr="0075061F" w:rsidRDefault="0075061F" w:rsidP="0075061F">
      <w:pPr>
        <w:spacing w:after="0" w:line="480" w:lineRule="auto"/>
        <w:jc w:val="center"/>
        <w:rPr>
          <w:rFonts w:ascii="Times New Roman" w:eastAsia="Calibri" w:hAnsi="Times New Roman" w:cs="Times New Roman"/>
          <w:b/>
          <w:bCs/>
          <w:iCs/>
          <w:sz w:val="24"/>
          <w:szCs w:val="23"/>
          <w:lang w:val="en-IN" w:bidi="mr-IN"/>
        </w:rPr>
      </w:pPr>
    </w:p>
    <w:p w:rsidR="0075061F" w:rsidRPr="0075061F" w:rsidRDefault="0075061F" w:rsidP="0075061F">
      <w:pPr>
        <w:spacing w:after="0" w:line="480" w:lineRule="auto"/>
        <w:jc w:val="center"/>
        <w:rPr>
          <w:rFonts w:ascii="Times New Roman" w:eastAsia="Calibri" w:hAnsi="Times New Roman" w:cs="Times New Roman"/>
          <w:b/>
          <w:bCs/>
          <w:sz w:val="24"/>
          <w:szCs w:val="23"/>
          <w:lang w:val="en-IN" w:bidi="mr-IN"/>
        </w:rPr>
      </w:pPr>
      <w:r w:rsidRPr="0075061F">
        <w:rPr>
          <w:rFonts w:ascii="Times New Roman" w:eastAsia="Calibri" w:hAnsi="Times New Roman" w:cs="Times New Roman"/>
          <w:b/>
          <w:bCs/>
          <w:iCs/>
          <w:sz w:val="24"/>
          <w:szCs w:val="23"/>
          <w:lang w:val="en-IN" w:bidi="mr-IN"/>
        </w:rPr>
        <w:t xml:space="preserve">Ayurveda </w:t>
      </w:r>
      <w:r w:rsidRPr="0075061F">
        <w:rPr>
          <w:rFonts w:ascii="Times New Roman" w:eastAsia="Calibri" w:hAnsi="Times New Roman" w:cs="Times New Roman"/>
          <w:b/>
          <w:bCs/>
          <w:sz w:val="24"/>
          <w:szCs w:val="23"/>
          <w:lang w:val="en-IN" w:bidi="mr-IN"/>
        </w:rPr>
        <w:t xml:space="preserve">botanicals in COVID-19 management: An </w:t>
      </w:r>
      <w:r w:rsidRPr="0075061F">
        <w:rPr>
          <w:rFonts w:ascii="Times New Roman" w:eastAsia="Calibri" w:hAnsi="Times New Roman" w:cs="Times New Roman"/>
          <w:b/>
          <w:bCs/>
          <w:i/>
          <w:sz w:val="24"/>
          <w:szCs w:val="23"/>
          <w:lang w:val="en-IN" w:bidi="mr-IN"/>
        </w:rPr>
        <w:t>in silico</w:t>
      </w:r>
      <w:r w:rsidRPr="0075061F">
        <w:rPr>
          <w:rFonts w:ascii="Times New Roman" w:eastAsia="Calibri" w:hAnsi="Times New Roman" w:cs="Times New Roman"/>
          <w:b/>
          <w:bCs/>
          <w:sz w:val="24"/>
          <w:szCs w:val="23"/>
          <w:lang w:val="en-IN" w:bidi="mr-IN"/>
        </w:rPr>
        <w:t>- multitarget approach</w:t>
      </w:r>
    </w:p>
    <w:p w:rsidR="0075061F" w:rsidRPr="0075061F" w:rsidRDefault="0075061F" w:rsidP="0075061F">
      <w:pPr>
        <w:spacing w:after="0" w:line="480" w:lineRule="auto"/>
        <w:jc w:val="both"/>
        <w:rPr>
          <w:rFonts w:ascii="Times New Roman" w:eastAsia="Calibri" w:hAnsi="Times New Roman" w:cs="Times New Roman"/>
          <w:bCs/>
          <w:sz w:val="24"/>
          <w:szCs w:val="23"/>
          <w:vertAlign w:val="superscript"/>
          <w:lang w:val="en-IN" w:bidi="mr-IN"/>
        </w:rPr>
      </w:pPr>
      <w:r w:rsidRPr="0075061F">
        <w:rPr>
          <w:rFonts w:ascii="Times New Roman" w:eastAsia="Calibri" w:hAnsi="Times New Roman" w:cs="Times New Roman"/>
          <w:bCs/>
          <w:sz w:val="24"/>
          <w:szCs w:val="23"/>
          <w:lang w:val="en-IN" w:bidi="mr-IN"/>
        </w:rPr>
        <w:t>Swapnil Borse</w:t>
      </w:r>
      <w:r w:rsidRPr="0075061F">
        <w:rPr>
          <w:rFonts w:ascii="Times New Roman" w:eastAsia="Calibri" w:hAnsi="Times New Roman" w:cs="Times New Roman"/>
          <w:bCs/>
          <w:sz w:val="24"/>
          <w:szCs w:val="23"/>
          <w:vertAlign w:val="superscript"/>
          <w:lang w:val="en-IN" w:bidi="mr-IN"/>
        </w:rPr>
        <w:t>1#</w:t>
      </w:r>
      <w:r w:rsidRPr="0075061F">
        <w:rPr>
          <w:rFonts w:ascii="Times New Roman" w:eastAsia="Calibri" w:hAnsi="Times New Roman" w:cs="Times New Roman"/>
          <w:bCs/>
          <w:sz w:val="24"/>
          <w:szCs w:val="23"/>
          <w:lang w:val="en-IN" w:bidi="mr-IN"/>
        </w:rPr>
        <w:t xml:space="preserve">, </w:t>
      </w:r>
      <w:proofErr w:type="spellStart"/>
      <w:r w:rsidRPr="0075061F">
        <w:rPr>
          <w:rFonts w:ascii="Times New Roman" w:eastAsia="Calibri" w:hAnsi="Times New Roman" w:cs="Times New Roman"/>
          <w:bCs/>
          <w:sz w:val="24"/>
          <w:szCs w:val="23"/>
          <w:lang w:val="en-IN" w:bidi="mr-IN"/>
        </w:rPr>
        <w:t>Manali</w:t>
      </w:r>
      <w:proofErr w:type="spellEnd"/>
      <w:r w:rsidRPr="0075061F">
        <w:rPr>
          <w:rFonts w:ascii="Times New Roman" w:eastAsia="Calibri" w:hAnsi="Times New Roman" w:cs="Times New Roman"/>
          <w:bCs/>
          <w:sz w:val="24"/>
          <w:szCs w:val="23"/>
          <w:lang w:val="en-IN" w:bidi="mr-IN"/>
        </w:rPr>
        <w:t xml:space="preserve"> Joshi</w:t>
      </w:r>
      <w:r w:rsidRPr="0075061F">
        <w:rPr>
          <w:rFonts w:ascii="Times New Roman" w:eastAsia="Calibri" w:hAnsi="Times New Roman" w:cs="Times New Roman"/>
          <w:bCs/>
          <w:sz w:val="24"/>
          <w:szCs w:val="23"/>
          <w:vertAlign w:val="superscript"/>
          <w:lang w:val="en-IN" w:bidi="mr-IN"/>
        </w:rPr>
        <w:t>2#</w:t>
      </w:r>
      <w:proofErr w:type="gramStart"/>
      <w:r w:rsidRPr="0075061F">
        <w:rPr>
          <w:rFonts w:ascii="Times New Roman" w:eastAsia="Calibri" w:hAnsi="Times New Roman" w:cs="Times New Roman"/>
          <w:bCs/>
          <w:sz w:val="24"/>
          <w:szCs w:val="23"/>
          <w:vertAlign w:val="superscript"/>
          <w:lang w:val="en-IN" w:bidi="mr-IN"/>
        </w:rPr>
        <w:t xml:space="preserve">$ </w:t>
      </w:r>
      <w:r w:rsidRPr="0075061F">
        <w:rPr>
          <w:rFonts w:ascii="Times New Roman" w:eastAsia="Calibri" w:hAnsi="Times New Roman" w:cs="Times New Roman"/>
          <w:bCs/>
          <w:sz w:val="24"/>
          <w:szCs w:val="23"/>
          <w:lang w:val="en-IN" w:bidi="mr-IN"/>
        </w:rPr>
        <w:t>,</w:t>
      </w:r>
      <w:proofErr w:type="gramEnd"/>
      <w:r w:rsidRPr="0075061F">
        <w:rPr>
          <w:rFonts w:ascii="Times New Roman" w:eastAsia="Calibri" w:hAnsi="Times New Roman" w:cs="Times New Roman"/>
          <w:bCs/>
          <w:sz w:val="24"/>
          <w:szCs w:val="23"/>
          <w:lang w:val="en-IN" w:bidi="mr-IN"/>
        </w:rPr>
        <w:t xml:space="preserve"> Akash Saggam</w:t>
      </w:r>
      <w:r w:rsidRPr="0075061F">
        <w:rPr>
          <w:rFonts w:ascii="Times New Roman" w:eastAsia="Calibri" w:hAnsi="Times New Roman" w:cs="Times New Roman"/>
          <w:bCs/>
          <w:sz w:val="24"/>
          <w:szCs w:val="23"/>
          <w:vertAlign w:val="superscript"/>
          <w:lang w:val="en-IN" w:bidi="mr-IN"/>
        </w:rPr>
        <w:t>1#</w:t>
      </w:r>
      <w:r w:rsidRPr="0075061F">
        <w:rPr>
          <w:rFonts w:ascii="Times New Roman" w:eastAsia="Calibri" w:hAnsi="Times New Roman" w:cs="Times New Roman"/>
          <w:bCs/>
          <w:sz w:val="24"/>
          <w:szCs w:val="23"/>
          <w:lang w:val="en-IN" w:bidi="mr-IN"/>
        </w:rPr>
        <w:t xml:space="preserve">, </w:t>
      </w:r>
      <w:proofErr w:type="spellStart"/>
      <w:r w:rsidRPr="0075061F">
        <w:rPr>
          <w:rFonts w:ascii="Times New Roman" w:eastAsia="Calibri" w:hAnsi="Times New Roman" w:cs="Times New Roman"/>
          <w:bCs/>
          <w:sz w:val="24"/>
          <w:szCs w:val="23"/>
          <w:lang w:val="en-IN" w:bidi="mr-IN"/>
        </w:rPr>
        <w:t>Vedika</w:t>
      </w:r>
      <w:proofErr w:type="spellEnd"/>
      <w:r w:rsidRPr="0075061F">
        <w:rPr>
          <w:rFonts w:ascii="Times New Roman" w:eastAsia="Calibri" w:hAnsi="Times New Roman" w:cs="Times New Roman"/>
          <w:bCs/>
          <w:sz w:val="24"/>
          <w:szCs w:val="23"/>
          <w:lang w:val="en-IN" w:bidi="mr-IN"/>
        </w:rPr>
        <w:t xml:space="preserve"> Bhat</w:t>
      </w:r>
      <w:r w:rsidRPr="0075061F">
        <w:rPr>
          <w:rFonts w:ascii="Times New Roman" w:eastAsia="Calibri" w:hAnsi="Times New Roman" w:cs="Times New Roman"/>
          <w:bCs/>
          <w:sz w:val="24"/>
          <w:szCs w:val="23"/>
          <w:vertAlign w:val="superscript"/>
          <w:lang w:val="en-IN" w:bidi="mr-IN"/>
        </w:rPr>
        <w:t>1#</w:t>
      </w:r>
      <w:r w:rsidRPr="0075061F">
        <w:rPr>
          <w:rFonts w:ascii="Times New Roman" w:eastAsia="Calibri" w:hAnsi="Times New Roman" w:cs="Times New Roman"/>
          <w:bCs/>
          <w:sz w:val="24"/>
          <w:szCs w:val="23"/>
          <w:lang w:val="en-IN" w:bidi="mr-IN"/>
        </w:rPr>
        <w:t xml:space="preserve">, </w:t>
      </w:r>
      <w:proofErr w:type="spellStart"/>
      <w:r w:rsidRPr="0075061F">
        <w:rPr>
          <w:rFonts w:ascii="Times New Roman" w:eastAsia="Calibri" w:hAnsi="Times New Roman" w:cs="Times New Roman"/>
          <w:bCs/>
          <w:sz w:val="24"/>
          <w:szCs w:val="23"/>
          <w:lang w:val="en-IN" w:bidi="mr-IN"/>
        </w:rPr>
        <w:t>Safal</w:t>
      </w:r>
      <w:proofErr w:type="spellEnd"/>
      <w:r w:rsidRPr="0075061F">
        <w:rPr>
          <w:rFonts w:ascii="Times New Roman" w:eastAsia="Calibri" w:hAnsi="Times New Roman" w:cs="Times New Roman"/>
          <w:bCs/>
          <w:sz w:val="24"/>
          <w:szCs w:val="23"/>
          <w:lang w:val="en-IN" w:bidi="mr-IN"/>
        </w:rPr>
        <w:t xml:space="preserve"> Walia</w:t>
      </w:r>
      <w:r w:rsidRPr="0075061F">
        <w:rPr>
          <w:rFonts w:ascii="Times New Roman" w:eastAsia="Calibri" w:hAnsi="Times New Roman" w:cs="Times New Roman"/>
          <w:bCs/>
          <w:sz w:val="24"/>
          <w:szCs w:val="23"/>
          <w:vertAlign w:val="superscript"/>
          <w:lang w:val="en-IN" w:bidi="mr-IN"/>
        </w:rPr>
        <w:t>2</w:t>
      </w:r>
      <w:r w:rsidRPr="0075061F">
        <w:rPr>
          <w:rFonts w:ascii="Times New Roman" w:eastAsia="Calibri" w:hAnsi="Times New Roman" w:cs="Times New Roman"/>
          <w:bCs/>
          <w:sz w:val="24"/>
          <w:szCs w:val="23"/>
          <w:lang w:val="en-IN" w:bidi="mr-IN"/>
        </w:rPr>
        <w:t xml:space="preserve">, </w:t>
      </w:r>
      <w:proofErr w:type="spellStart"/>
      <w:r w:rsidRPr="0075061F">
        <w:rPr>
          <w:rFonts w:ascii="Times New Roman" w:eastAsia="Calibri" w:hAnsi="Times New Roman" w:cs="Times New Roman"/>
          <w:bCs/>
          <w:sz w:val="24"/>
          <w:szCs w:val="23"/>
          <w:lang w:val="en-IN" w:bidi="mr-IN"/>
        </w:rPr>
        <w:t>Sneha</w:t>
      </w:r>
      <w:proofErr w:type="spellEnd"/>
      <w:r w:rsidRPr="0075061F">
        <w:rPr>
          <w:rFonts w:ascii="Times New Roman" w:eastAsia="Calibri" w:hAnsi="Times New Roman" w:cs="Times New Roman"/>
          <w:bCs/>
          <w:sz w:val="24"/>
          <w:szCs w:val="23"/>
          <w:lang w:val="en-IN" w:bidi="mr-IN"/>
        </w:rPr>
        <w:t xml:space="preserve"> Sagar</w:t>
      </w:r>
      <w:r w:rsidRPr="0075061F">
        <w:rPr>
          <w:rFonts w:ascii="Times New Roman" w:eastAsia="Calibri" w:hAnsi="Times New Roman" w:cs="Times New Roman"/>
          <w:bCs/>
          <w:sz w:val="24"/>
          <w:szCs w:val="23"/>
          <w:vertAlign w:val="superscript"/>
          <w:lang w:val="en-IN" w:bidi="mr-IN"/>
        </w:rPr>
        <w:t>3</w:t>
      </w:r>
      <w:r w:rsidRPr="0075061F">
        <w:rPr>
          <w:rFonts w:ascii="Times New Roman" w:eastAsia="Calibri" w:hAnsi="Times New Roman" w:cs="Times New Roman"/>
          <w:bCs/>
          <w:sz w:val="24"/>
          <w:szCs w:val="23"/>
          <w:lang w:val="en-IN" w:bidi="mr-IN"/>
        </w:rPr>
        <w:t xml:space="preserve">, </w:t>
      </w:r>
      <w:proofErr w:type="spellStart"/>
      <w:r w:rsidRPr="0075061F">
        <w:rPr>
          <w:rFonts w:ascii="Times New Roman" w:eastAsia="Calibri" w:hAnsi="Times New Roman" w:cs="Times New Roman"/>
          <w:bCs/>
          <w:sz w:val="24"/>
          <w:szCs w:val="23"/>
          <w:lang w:val="en-IN" w:bidi="mr-IN"/>
        </w:rPr>
        <w:t>Preeti</w:t>
      </w:r>
      <w:proofErr w:type="spellEnd"/>
      <w:r w:rsidRPr="0075061F">
        <w:rPr>
          <w:rFonts w:ascii="Times New Roman" w:eastAsia="Calibri" w:hAnsi="Times New Roman" w:cs="Times New Roman"/>
          <w:bCs/>
          <w:sz w:val="24"/>
          <w:szCs w:val="23"/>
          <w:lang w:val="en-IN" w:bidi="mr-IN"/>
        </w:rPr>
        <w:t xml:space="preserve"> Chavan-Gautam</w:t>
      </w:r>
      <w:r w:rsidRPr="0075061F">
        <w:rPr>
          <w:rFonts w:ascii="Times New Roman" w:eastAsia="Calibri" w:hAnsi="Times New Roman" w:cs="Times New Roman"/>
          <w:bCs/>
          <w:sz w:val="24"/>
          <w:szCs w:val="23"/>
          <w:vertAlign w:val="superscript"/>
          <w:lang w:val="en-IN" w:bidi="mr-IN"/>
        </w:rPr>
        <w:t>1*</w:t>
      </w:r>
      <w:r w:rsidRPr="0075061F">
        <w:rPr>
          <w:rFonts w:ascii="Times New Roman" w:eastAsia="Calibri" w:hAnsi="Times New Roman" w:cs="Times New Roman"/>
          <w:bCs/>
          <w:sz w:val="24"/>
          <w:szCs w:val="23"/>
          <w:lang w:val="en-IN" w:bidi="mr-IN"/>
        </w:rPr>
        <w:t>, Girish Tillu</w:t>
      </w:r>
      <w:r w:rsidRPr="0075061F">
        <w:rPr>
          <w:rFonts w:ascii="Times New Roman" w:eastAsia="Calibri" w:hAnsi="Times New Roman" w:cs="Times New Roman"/>
          <w:bCs/>
          <w:sz w:val="24"/>
          <w:szCs w:val="23"/>
          <w:vertAlign w:val="superscript"/>
          <w:lang w:val="en-IN" w:bidi="mr-IN"/>
        </w:rPr>
        <w:t>1</w:t>
      </w:r>
    </w:p>
    <w:p w:rsidR="0075061F" w:rsidRPr="0075061F" w:rsidRDefault="0075061F" w:rsidP="0075061F">
      <w:pPr>
        <w:spacing w:after="0" w:line="480" w:lineRule="auto"/>
        <w:jc w:val="both"/>
        <w:rPr>
          <w:rFonts w:ascii="Times New Roman" w:eastAsia="Calibri" w:hAnsi="Times New Roman" w:cs="Times New Roman"/>
          <w:bCs/>
          <w:sz w:val="24"/>
          <w:szCs w:val="23"/>
          <w:lang w:val="en-IN" w:bidi="mr-IN"/>
        </w:rPr>
      </w:pPr>
      <w:r w:rsidRPr="0075061F">
        <w:rPr>
          <w:rFonts w:ascii="Times New Roman" w:eastAsia="Calibri" w:hAnsi="Times New Roman" w:cs="Times New Roman"/>
          <w:bCs/>
          <w:sz w:val="24"/>
          <w:szCs w:val="23"/>
          <w:vertAlign w:val="superscript"/>
          <w:lang w:val="en-IN" w:bidi="mr-IN"/>
        </w:rPr>
        <w:t>1</w:t>
      </w:r>
      <w:r w:rsidRPr="0075061F">
        <w:rPr>
          <w:rFonts w:ascii="Times New Roman" w:eastAsia="Calibri" w:hAnsi="Times New Roman" w:cs="Times New Roman"/>
          <w:bCs/>
          <w:sz w:val="24"/>
          <w:szCs w:val="23"/>
          <w:lang w:val="en-IN" w:bidi="mr-IN"/>
        </w:rPr>
        <w:t>AYUSH-Center of Excellence, Center for Complementary and Integrative Health, Interdisciplinary School of Health Sciences, Savitribai Phule Pune University, Pune - 411 007</w:t>
      </w:r>
    </w:p>
    <w:p w:rsidR="0075061F" w:rsidRPr="0075061F" w:rsidRDefault="0075061F" w:rsidP="0075061F">
      <w:pPr>
        <w:spacing w:after="0" w:line="480" w:lineRule="auto"/>
        <w:jc w:val="both"/>
        <w:rPr>
          <w:rFonts w:ascii="Times New Roman" w:eastAsia="Calibri" w:hAnsi="Times New Roman" w:cs="Times New Roman"/>
          <w:bCs/>
          <w:sz w:val="24"/>
          <w:szCs w:val="23"/>
          <w:lang w:val="en-IN" w:bidi="mr-IN"/>
        </w:rPr>
      </w:pPr>
      <w:r w:rsidRPr="0075061F">
        <w:rPr>
          <w:rFonts w:ascii="Times New Roman" w:eastAsia="Calibri" w:hAnsi="Times New Roman" w:cs="Times New Roman"/>
          <w:bCs/>
          <w:sz w:val="24"/>
          <w:szCs w:val="23"/>
          <w:vertAlign w:val="superscript"/>
          <w:lang w:val="en-IN" w:bidi="mr-IN"/>
        </w:rPr>
        <w:t>2</w:t>
      </w:r>
      <w:r w:rsidRPr="0075061F">
        <w:rPr>
          <w:rFonts w:ascii="Times New Roman" w:eastAsia="Calibri" w:hAnsi="Times New Roman" w:cs="Times New Roman"/>
          <w:bCs/>
          <w:sz w:val="24"/>
          <w:szCs w:val="23"/>
          <w:lang w:val="en-IN" w:bidi="mr-IN"/>
        </w:rPr>
        <w:t>Bioinformatics Center, Savitribai Phule Pune University, Pune - 411 007</w:t>
      </w:r>
    </w:p>
    <w:p w:rsidR="0075061F" w:rsidRPr="0075061F" w:rsidRDefault="0075061F" w:rsidP="0075061F">
      <w:pPr>
        <w:spacing w:after="0" w:line="480" w:lineRule="auto"/>
        <w:jc w:val="both"/>
        <w:rPr>
          <w:rFonts w:ascii="Times New Roman" w:eastAsia="Calibri" w:hAnsi="Times New Roman" w:cs="Times New Roman"/>
          <w:bCs/>
          <w:sz w:val="24"/>
          <w:szCs w:val="23"/>
          <w:lang w:val="en-IN" w:bidi="mr-IN"/>
        </w:rPr>
      </w:pPr>
      <w:r w:rsidRPr="0075061F">
        <w:rPr>
          <w:rFonts w:ascii="Times New Roman" w:eastAsia="Calibri" w:hAnsi="Times New Roman" w:cs="Times New Roman"/>
          <w:bCs/>
          <w:sz w:val="24"/>
          <w:szCs w:val="23"/>
          <w:vertAlign w:val="superscript"/>
          <w:lang w:val="en-IN" w:bidi="mr-IN"/>
        </w:rPr>
        <w:t>3</w:t>
      </w:r>
      <w:r w:rsidRPr="0075061F">
        <w:rPr>
          <w:rFonts w:ascii="Times New Roman" w:eastAsia="Calibri" w:hAnsi="Times New Roman" w:cs="Times New Roman"/>
          <w:bCs/>
          <w:sz w:val="24"/>
          <w:szCs w:val="23"/>
          <w:lang w:val="en-IN" w:bidi="mr-IN"/>
        </w:rPr>
        <w:t xml:space="preserve">Department of Pharmaceutical Chemistry, L.J. Institute of Pharmacy, </w:t>
      </w:r>
      <w:proofErr w:type="spellStart"/>
      <w:r w:rsidRPr="0075061F">
        <w:rPr>
          <w:rFonts w:ascii="Times New Roman" w:eastAsia="Calibri" w:hAnsi="Times New Roman" w:cs="Times New Roman"/>
          <w:bCs/>
          <w:sz w:val="24"/>
          <w:szCs w:val="23"/>
          <w:lang w:val="en-IN" w:bidi="mr-IN"/>
        </w:rPr>
        <w:t>Sarkhej</w:t>
      </w:r>
      <w:proofErr w:type="spellEnd"/>
      <w:r w:rsidRPr="0075061F">
        <w:rPr>
          <w:rFonts w:ascii="Times New Roman" w:eastAsia="Calibri" w:hAnsi="Times New Roman" w:cs="Times New Roman"/>
          <w:bCs/>
          <w:sz w:val="24"/>
          <w:szCs w:val="23"/>
          <w:lang w:val="en-IN" w:bidi="mr-IN"/>
        </w:rPr>
        <w:t>, Ahmedabad - 382210</w:t>
      </w:r>
    </w:p>
    <w:p w:rsidR="0075061F" w:rsidRPr="0075061F" w:rsidRDefault="0075061F" w:rsidP="0075061F">
      <w:pPr>
        <w:spacing w:after="0" w:line="480" w:lineRule="auto"/>
        <w:jc w:val="center"/>
        <w:rPr>
          <w:rFonts w:ascii="Times New Roman" w:eastAsia="Calibri" w:hAnsi="Times New Roman" w:cs="Times New Roman"/>
          <w:bCs/>
          <w:sz w:val="24"/>
          <w:szCs w:val="23"/>
          <w:lang w:val="en-IN" w:bidi="mr-IN"/>
        </w:rPr>
      </w:pPr>
    </w:p>
    <w:p w:rsidR="0075061F" w:rsidRPr="0075061F" w:rsidRDefault="0075061F" w:rsidP="0075061F">
      <w:pPr>
        <w:spacing w:after="0" w:line="480" w:lineRule="auto"/>
        <w:jc w:val="both"/>
        <w:rPr>
          <w:rFonts w:ascii="Times New Roman" w:eastAsia="Calibri" w:hAnsi="Times New Roman" w:cs="Times New Roman"/>
          <w:bCs/>
          <w:sz w:val="24"/>
          <w:szCs w:val="23"/>
          <w:lang w:val="en-IN" w:bidi="mr-IN"/>
        </w:rPr>
      </w:pPr>
      <w:r w:rsidRPr="0075061F">
        <w:rPr>
          <w:rFonts w:ascii="Times New Roman" w:eastAsia="Calibri" w:hAnsi="Times New Roman" w:cs="Times New Roman"/>
          <w:bCs/>
          <w:sz w:val="24"/>
          <w:szCs w:val="23"/>
          <w:vertAlign w:val="superscript"/>
          <w:lang w:val="en-IN" w:bidi="mr-IN"/>
        </w:rPr>
        <w:t>#</w:t>
      </w:r>
      <w:r w:rsidRPr="0075061F">
        <w:rPr>
          <w:rFonts w:ascii="Times New Roman" w:eastAsia="Calibri" w:hAnsi="Times New Roman" w:cs="Times New Roman"/>
          <w:bCs/>
          <w:sz w:val="24"/>
          <w:szCs w:val="23"/>
          <w:lang w:val="en-IN" w:bidi="mr-IN"/>
        </w:rPr>
        <w:t>Authors have equal contribution</w:t>
      </w:r>
    </w:p>
    <w:p w:rsidR="0075061F" w:rsidRPr="0075061F" w:rsidRDefault="0075061F" w:rsidP="0075061F">
      <w:pPr>
        <w:spacing w:after="0" w:line="480" w:lineRule="auto"/>
        <w:jc w:val="both"/>
        <w:rPr>
          <w:rFonts w:ascii="Calibri" w:eastAsia="Calibri" w:hAnsi="Calibri" w:cs="Mangal"/>
          <w:szCs w:val="20"/>
          <w:lang w:val="en-IN" w:bidi="mr-IN"/>
        </w:rPr>
      </w:pPr>
      <w:r w:rsidRPr="0075061F">
        <w:rPr>
          <w:rFonts w:ascii="Times New Roman" w:eastAsia="Calibri" w:hAnsi="Times New Roman" w:cs="Times New Roman"/>
          <w:bCs/>
          <w:sz w:val="24"/>
          <w:szCs w:val="23"/>
          <w:lang w:val="en-IN" w:bidi="mr-IN"/>
        </w:rPr>
        <w:t xml:space="preserve">*Corresponding author: </w:t>
      </w:r>
      <w:proofErr w:type="spellStart"/>
      <w:r w:rsidRPr="0075061F">
        <w:rPr>
          <w:rFonts w:ascii="Times New Roman" w:eastAsia="Calibri" w:hAnsi="Times New Roman" w:cs="Times New Roman"/>
          <w:bCs/>
          <w:sz w:val="24"/>
          <w:szCs w:val="23"/>
          <w:lang w:val="en-IN" w:bidi="mr-IN"/>
        </w:rPr>
        <w:t>Preeti</w:t>
      </w:r>
      <w:proofErr w:type="spellEnd"/>
      <w:r w:rsidRPr="0075061F">
        <w:rPr>
          <w:rFonts w:ascii="Times New Roman" w:eastAsia="Calibri" w:hAnsi="Times New Roman" w:cs="Times New Roman"/>
          <w:bCs/>
          <w:sz w:val="24"/>
          <w:szCs w:val="23"/>
          <w:lang w:val="en-IN" w:bidi="mr-IN"/>
        </w:rPr>
        <w:t xml:space="preserve"> </w:t>
      </w:r>
      <w:proofErr w:type="spellStart"/>
      <w:r w:rsidRPr="0075061F">
        <w:rPr>
          <w:rFonts w:ascii="Times New Roman" w:eastAsia="Calibri" w:hAnsi="Times New Roman" w:cs="Times New Roman"/>
          <w:bCs/>
          <w:sz w:val="24"/>
          <w:szCs w:val="23"/>
          <w:lang w:val="en-IN" w:bidi="mr-IN"/>
        </w:rPr>
        <w:t>Chavan-Gautam</w:t>
      </w:r>
      <w:proofErr w:type="spellEnd"/>
      <w:r w:rsidRPr="0075061F">
        <w:rPr>
          <w:rFonts w:ascii="Times New Roman" w:eastAsia="Calibri" w:hAnsi="Times New Roman" w:cs="Times New Roman"/>
          <w:bCs/>
          <w:sz w:val="24"/>
          <w:szCs w:val="23"/>
          <w:lang w:val="en-IN" w:bidi="mr-IN"/>
        </w:rPr>
        <w:t>; E-mail:</w:t>
      </w:r>
      <w:hyperlink r:id="rId5" w:history="1">
        <w:r w:rsidRPr="0075061F">
          <w:rPr>
            <w:rFonts w:ascii="Times New Roman" w:eastAsia="Calibri" w:hAnsi="Times New Roman" w:cs="Times New Roman"/>
            <w:bCs/>
            <w:color w:val="0000FF"/>
            <w:sz w:val="24"/>
            <w:szCs w:val="20"/>
            <w:u w:val="single"/>
            <w:lang w:val="en-IN" w:bidi="mr-IN"/>
          </w:rPr>
          <w:t>chavanpriti@gmail.com</w:t>
        </w:r>
      </w:hyperlink>
    </w:p>
    <w:p w:rsidR="0075061F" w:rsidRPr="0075061F" w:rsidRDefault="0075061F" w:rsidP="0075061F">
      <w:pPr>
        <w:spacing w:after="0" w:line="480" w:lineRule="auto"/>
        <w:jc w:val="both"/>
        <w:rPr>
          <w:rFonts w:ascii="Times New Roman" w:eastAsia="Calibri" w:hAnsi="Times New Roman" w:cs="Times New Roman"/>
          <w:bCs/>
          <w:color w:val="0000FF"/>
          <w:sz w:val="24"/>
          <w:szCs w:val="20"/>
          <w:u w:val="single"/>
          <w:lang w:val="en-IN" w:bidi="mr-IN"/>
        </w:rPr>
      </w:pPr>
      <w:r w:rsidRPr="0075061F">
        <w:rPr>
          <w:rFonts w:ascii="Times New Roman" w:eastAsia="Calibri" w:hAnsi="Times New Roman" w:cs="Times New Roman"/>
          <w:bCs/>
          <w:sz w:val="24"/>
          <w:szCs w:val="23"/>
          <w:vertAlign w:val="superscript"/>
          <w:lang w:val="en-IN" w:bidi="mr-IN"/>
        </w:rPr>
        <w:t>$</w:t>
      </w:r>
      <w:r w:rsidRPr="0075061F">
        <w:rPr>
          <w:rFonts w:ascii="Times New Roman" w:eastAsia="Calibri" w:hAnsi="Times New Roman" w:cs="Times New Roman"/>
          <w:bCs/>
          <w:sz w:val="24"/>
          <w:szCs w:val="23"/>
          <w:lang w:val="en-IN" w:bidi="mr-IN"/>
        </w:rPr>
        <w:t xml:space="preserve">Corresponding author for molecular docking studies: </w:t>
      </w:r>
      <w:proofErr w:type="spellStart"/>
      <w:r w:rsidRPr="0075061F">
        <w:rPr>
          <w:rFonts w:ascii="Times New Roman" w:eastAsia="Calibri" w:hAnsi="Times New Roman" w:cs="Times New Roman"/>
          <w:bCs/>
          <w:sz w:val="24"/>
          <w:szCs w:val="23"/>
          <w:lang w:val="en-IN" w:bidi="mr-IN"/>
        </w:rPr>
        <w:t>Manali</w:t>
      </w:r>
      <w:proofErr w:type="spellEnd"/>
      <w:r w:rsidRPr="0075061F">
        <w:rPr>
          <w:rFonts w:ascii="Times New Roman" w:eastAsia="Calibri" w:hAnsi="Times New Roman" w:cs="Times New Roman"/>
          <w:bCs/>
          <w:sz w:val="24"/>
          <w:szCs w:val="23"/>
          <w:lang w:val="en-IN" w:bidi="mr-IN"/>
        </w:rPr>
        <w:t xml:space="preserve"> Joshi; E-mail: </w:t>
      </w:r>
      <w:r w:rsidRPr="0075061F">
        <w:rPr>
          <w:rFonts w:ascii="Times New Roman" w:eastAsia="Calibri" w:hAnsi="Times New Roman" w:cs="Times New Roman"/>
          <w:bCs/>
          <w:color w:val="0000FF"/>
          <w:sz w:val="24"/>
          <w:szCs w:val="20"/>
          <w:u w:val="single"/>
          <w:lang w:val="en-IN" w:bidi="mr-IN"/>
        </w:rPr>
        <w:t>manali.joshi@gmail.com</w:t>
      </w:r>
    </w:p>
    <w:p w:rsidR="0075061F" w:rsidRPr="0075061F" w:rsidRDefault="0075061F" w:rsidP="0075061F">
      <w:pPr>
        <w:spacing w:after="120" w:line="480" w:lineRule="auto"/>
        <w:jc w:val="both"/>
        <w:rPr>
          <w:rFonts w:ascii="Times New Roman" w:eastAsia="Calibri" w:hAnsi="Times New Roman" w:cs="Times New Roman"/>
          <w:b/>
          <w:bCs/>
          <w:sz w:val="24"/>
          <w:szCs w:val="23"/>
          <w:lang w:val="en-IN" w:bidi="mr-IN"/>
        </w:rPr>
      </w:pPr>
    </w:p>
    <w:p w:rsidR="0075061F" w:rsidRPr="0075061F" w:rsidRDefault="0075061F" w:rsidP="0075061F">
      <w:pPr>
        <w:spacing w:after="120" w:line="480" w:lineRule="auto"/>
        <w:jc w:val="both"/>
        <w:rPr>
          <w:rFonts w:ascii="Times New Roman" w:eastAsia="Calibri" w:hAnsi="Times New Roman" w:cs="Times New Roman"/>
          <w:b/>
          <w:bCs/>
          <w:sz w:val="24"/>
          <w:szCs w:val="23"/>
          <w:lang w:val="en-IN" w:bidi="mr-IN"/>
        </w:rPr>
      </w:pPr>
      <w:r w:rsidRPr="0075061F">
        <w:rPr>
          <w:rFonts w:ascii="Times New Roman" w:eastAsia="Calibri" w:hAnsi="Times New Roman" w:cs="Times New Roman"/>
          <w:b/>
          <w:bCs/>
          <w:sz w:val="24"/>
          <w:szCs w:val="23"/>
          <w:lang w:val="en-IN" w:bidi="mr-IN"/>
        </w:rPr>
        <w:t xml:space="preserve">Short Title: Ayurvedic </w:t>
      </w:r>
      <w:r w:rsidRPr="0075061F">
        <w:rPr>
          <w:rFonts w:ascii="Times New Roman" w:eastAsia="Calibri" w:hAnsi="Times New Roman" w:cs="Times New Roman"/>
          <w:b/>
          <w:bCs/>
          <w:i/>
          <w:sz w:val="24"/>
          <w:szCs w:val="23"/>
          <w:lang w:val="en-IN" w:bidi="mr-IN"/>
        </w:rPr>
        <w:t>Rasayana</w:t>
      </w:r>
      <w:r w:rsidRPr="0075061F">
        <w:rPr>
          <w:rFonts w:ascii="Times New Roman" w:eastAsia="Calibri" w:hAnsi="Times New Roman" w:cs="Times New Roman"/>
          <w:b/>
          <w:bCs/>
          <w:sz w:val="24"/>
          <w:szCs w:val="23"/>
          <w:lang w:val="en-IN" w:bidi="mr-IN"/>
        </w:rPr>
        <w:t xml:space="preserve"> Botanicals for COVID-19 Management</w:t>
      </w:r>
    </w:p>
    <w:p w:rsidR="0075061F" w:rsidRPr="0075061F" w:rsidRDefault="0075061F" w:rsidP="0075061F">
      <w:pPr>
        <w:spacing w:after="120" w:line="480" w:lineRule="auto"/>
        <w:jc w:val="both"/>
        <w:rPr>
          <w:rFonts w:ascii="Times New Roman" w:eastAsia="Calibri" w:hAnsi="Times New Roman" w:cs="Times New Roman"/>
          <w:b/>
          <w:bCs/>
          <w:sz w:val="24"/>
          <w:szCs w:val="23"/>
          <w:lang w:val="en-IN" w:bidi="mr-IN"/>
        </w:rPr>
      </w:pPr>
    </w:p>
    <w:p w:rsidR="0075061F" w:rsidRPr="0075061F" w:rsidRDefault="0075061F" w:rsidP="0075061F">
      <w:pPr>
        <w:spacing w:after="120" w:line="480" w:lineRule="auto"/>
        <w:jc w:val="both"/>
        <w:rPr>
          <w:rFonts w:ascii="Times New Roman" w:eastAsia="Calibri" w:hAnsi="Times New Roman" w:cs="Times New Roman"/>
          <w:b/>
          <w:bCs/>
          <w:sz w:val="24"/>
          <w:szCs w:val="23"/>
          <w:lang w:val="en-IN" w:bidi="mr-IN"/>
        </w:rPr>
      </w:pPr>
    </w:p>
    <w:p w:rsidR="0075061F" w:rsidRPr="0075061F" w:rsidRDefault="0075061F" w:rsidP="0075061F">
      <w:pPr>
        <w:spacing w:after="120" w:line="480" w:lineRule="auto"/>
        <w:jc w:val="both"/>
        <w:rPr>
          <w:rFonts w:ascii="Times New Roman" w:eastAsia="Calibri" w:hAnsi="Times New Roman" w:cs="Times New Roman"/>
          <w:b/>
          <w:bCs/>
          <w:sz w:val="24"/>
          <w:szCs w:val="23"/>
          <w:lang w:val="en-IN" w:bidi="mr-IN"/>
        </w:rPr>
      </w:pPr>
    </w:p>
    <w:p w:rsidR="0075061F" w:rsidRPr="0075061F" w:rsidRDefault="0075061F" w:rsidP="0075061F">
      <w:pPr>
        <w:spacing w:after="120" w:line="480" w:lineRule="auto"/>
        <w:jc w:val="both"/>
        <w:rPr>
          <w:rFonts w:ascii="Times New Roman" w:eastAsia="Calibri" w:hAnsi="Times New Roman" w:cs="Times New Roman"/>
          <w:b/>
          <w:bCs/>
          <w:sz w:val="24"/>
          <w:szCs w:val="23"/>
          <w:lang w:val="en-IN" w:bidi="mr-IN"/>
        </w:rPr>
      </w:pPr>
    </w:p>
    <w:p w:rsidR="0075061F" w:rsidRPr="0075061F" w:rsidRDefault="0075061F" w:rsidP="0075061F">
      <w:pPr>
        <w:spacing w:after="120" w:line="480" w:lineRule="auto"/>
        <w:jc w:val="both"/>
        <w:rPr>
          <w:rFonts w:ascii="Times New Roman" w:eastAsia="Calibri" w:hAnsi="Times New Roman" w:cs="Times New Roman"/>
          <w:b/>
          <w:bCs/>
          <w:sz w:val="24"/>
          <w:szCs w:val="23"/>
          <w:lang w:val="en-IN" w:bidi="mr-IN"/>
        </w:rPr>
      </w:pPr>
    </w:p>
    <w:p w:rsidR="0075061F" w:rsidRPr="0075061F" w:rsidRDefault="0075061F" w:rsidP="0075061F">
      <w:pPr>
        <w:spacing w:after="120" w:line="480" w:lineRule="auto"/>
        <w:jc w:val="both"/>
        <w:rPr>
          <w:rFonts w:ascii="Times New Roman" w:eastAsia="Calibri" w:hAnsi="Times New Roman" w:cs="Times New Roman"/>
          <w:b/>
          <w:bCs/>
          <w:sz w:val="24"/>
          <w:szCs w:val="23"/>
          <w:lang w:val="en-IN" w:bidi="mr-IN"/>
        </w:rPr>
      </w:pPr>
    </w:p>
    <w:p w:rsidR="0075061F" w:rsidRPr="0075061F" w:rsidRDefault="0075061F" w:rsidP="0075061F">
      <w:pPr>
        <w:spacing w:after="120" w:line="480" w:lineRule="auto"/>
        <w:jc w:val="both"/>
        <w:rPr>
          <w:rFonts w:ascii="Times New Roman" w:eastAsia="Calibri" w:hAnsi="Times New Roman" w:cs="Times New Roman"/>
          <w:b/>
          <w:bCs/>
          <w:sz w:val="24"/>
          <w:szCs w:val="23"/>
          <w:lang w:val="en-IN" w:bidi="mr-IN"/>
        </w:rPr>
      </w:pPr>
    </w:p>
    <w:p w:rsidR="00642720" w:rsidRPr="00E310F1" w:rsidRDefault="002D04AC" w:rsidP="00642720">
      <w:pPr>
        <w:spacing w:after="160" w:line="259" w:lineRule="auto"/>
        <w:ind w:left="720"/>
        <w:contextualSpacing/>
        <w:jc w:val="both"/>
        <w:rPr>
          <w:rFonts w:ascii="Times New Roman" w:eastAsia="Calibri" w:hAnsi="Times New Roman" w:cs="Times New Roman"/>
          <w:b/>
          <w:sz w:val="24"/>
          <w:szCs w:val="24"/>
          <w:lang w:val="en-IN" w:bidi="mr-IN"/>
        </w:rPr>
      </w:pPr>
      <w:r w:rsidRPr="00E310F1">
        <w:rPr>
          <w:rFonts w:ascii="Times New Roman" w:eastAsia="Calibri" w:hAnsi="Times New Roman" w:cs="Times New Roman"/>
          <w:b/>
          <w:sz w:val="24"/>
          <w:szCs w:val="24"/>
          <w:lang w:val="en-IN" w:bidi="mr-IN"/>
        </w:rPr>
        <w:t xml:space="preserve">S2 </w:t>
      </w:r>
      <w:proofErr w:type="spellStart"/>
      <w:r w:rsidR="00E310F1" w:rsidRPr="00E310F1">
        <w:rPr>
          <w:rFonts w:ascii="Times New Roman" w:eastAsia="Calibri" w:hAnsi="Times New Roman" w:cs="Times New Roman"/>
          <w:b/>
          <w:sz w:val="24"/>
          <w:szCs w:val="24"/>
          <w:lang w:val="en-IN" w:bidi="mr-IN"/>
        </w:rPr>
        <w:t>Table</w:t>
      </w:r>
      <w:proofErr w:type="gramStart"/>
      <w:r w:rsidR="00642720" w:rsidRPr="00E310F1">
        <w:rPr>
          <w:rFonts w:ascii="Times New Roman" w:eastAsia="Calibri" w:hAnsi="Times New Roman" w:cs="Times New Roman"/>
          <w:b/>
          <w:sz w:val="24"/>
          <w:szCs w:val="24"/>
          <w:lang w:val="en-IN" w:bidi="mr-IN"/>
        </w:rPr>
        <w:t>:</w:t>
      </w:r>
      <w:r w:rsidR="00642720" w:rsidRPr="00E310F1">
        <w:rPr>
          <w:rFonts w:ascii="Times New Roman" w:eastAsia="Calibri" w:hAnsi="Times New Roman" w:cs="Times New Roman"/>
          <w:b/>
          <w:i/>
          <w:sz w:val="24"/>
          <w:szCs w:val="24"/>
          <w:lang w:val="en-IN" w:bidi="mr-IN"/>
        </w:rPr>
        <w:t>In</w:t>
      </w:r>
      <w:proofErr w:type="spellEnd"/>
      <w:proofErr w:type="gramEnd"/>
      <w:r w:rsidR="00642720" w:rsidRPr="00E310F1">
        <w:rPr>
          <w:rFonts w:ascii="Times New Roman" w:eastAsia="Calibri" w:hAnsi="Times New Roman" w:cs="Times New Roman"/>
          <w:b/>
          <w:i/>
          <w:sz w:val="24"/>
          <w:szCs w:val="24"/>
          <w:lang w:val="en-IN" w:bidi="mr-IN"/>
        </w:rPr>
        <w:t xml:space="preserve"> vitro</w:t>
      </w:r>
      <w:r w:rsidR="00642720" w:rsidRPr="00E310F1">
        <w:rPr>
          <w:rFonts w:ascii="Times New Roman" w:eastAsia="Calibri" w:hAnsi="Times New Roman" w:cs="Times New Roman"/>
          <w:b/>
          <w:sz w:val="24"/>
          <w:szCs w:val="24"/>
          <w:lang w:val="en-IN" w:bidi="mr-IN"/>
        </w:rPr>
        <w:t xml:space="preserve"> effect of AR, TC and WS extracts on major CYP isoforms.</w:t>
      </w:r>
    </w:p>
    <w:p w:rsidR="002D04AC" w:rsidRPr="00642720" w:rsidRDefault="002D04AC" w:rsidP="00642720">
      <w:pPr>
        <w:spacing w:after="160" w:line="259" w:lineRule="auto"/>
        <w:ind w:left="720"/>
        <w:contextualSpacing/>
        <w:jc w:val="both"/>
        <w:rPr>
          <w:rFonts w:ascii="Times New Roman" w:eastAsia="Calibri" w:hAnsi="Times New Roman" w:cs="Times New Roman"/>
          <w:sz w:val="24"/>
          <w:szCs w:val="24"/>
          <w:lang w:val="en-IN" w:bidi="mr-IN"/>
        </w:rPr>
      </w:pPr>
    </w:p>
    <w:tbl>
      <w:tblPr>
        <w:tblStyle w:val="TableGrid"/>
        <w:tblW w:w="0" w:type="auto"/>
        <w:jc w:val="center"/>
        <w:tblLayout w:type="fixed"/>
        <w:tblLook w:val="04A0"/>
      </w:tblPr>
      <w:tblGrid>
        <w:gridCol w:w="1333"/>
        <w:gridCol w:w="3568"/>
        <w:gridCol w:w="1338"/>
        <w:gridCol w:w="1338"/>
        <w:gridCol w:w="1417"/>
      </w:tblGrid>
      <w:tr w:rsidR="00642720" w:rsidRPr="00642720" w:rsidTr="00642720">
        <w:trPr>
          <w:trHeight w:val="549"/>
          <w:jc w:val="center"/>
        </w:trPr>
        <w:tc>
          <w:tcPr>
            <w:tcW w:w="1333" w:type="dxa"/>
            <w:vAlign w:val="center"/>
          </w:tcPr>
          <w:p w:rsidR="00642720" w:rsidRPr="00642720" w:rsidRDefault="00642720" w:rsidP="00642720">
            <w:pPr>
              <w:jc w:val="center"/>
              <w:rPr>
                <w:rFonts w:ascii="Times New Roman" w:hAnsi="Times New Roman" w:cs="Times New Roman"/>
                <w:b/>
                <w:bCs/>
                <w:sz w:val="24"/>
                <w:szCs w:val="24"/>
              </w:rPr>
            </w:pPr>
            <w:r w:rsidRPr="00642720">
              <w:rPr>
                <w:rFonts w:ascii="Times New Roman" w:hAnsi="Times New Roman" w:cs="Times New Roman"/>
                <w:b/>
                <w:bCs/>
                <w:sz w:val="24"/>
                <w:szCs w:val="24"/>
              </w:rPr>
              <w:t>Herbs</w:t>
            </w:r>
          </w:p>
        </w:tc>
        <w:tc>
          <w:tcPr>
            <w:tcW w:w="3568" w:type="dxa"/>
            <w:vAlign w:val="center"/>
          </w:tcPr>
          <w:p w:rsidR="00642720" w:rsidRPr="00642720" w:rsidRDefault="00642720" w:rsidP="00642720">
            <w:pPr>
              <w:jc w:val="center"/>
              <w:rPr>
                <w:rFonts w:ascii="Times New Roman" w:hAnsi="Times New Roman" w:cs="Times New Roman"/>
                <w:b/>
                <w:bCs/>
                <w:sz w:val="24"/>
                <w:szCs w:val="24"/>
              </w:rPr>
            </w:pPr>
            <w:r w:rsidRPr="00642720">
              <w:rPr>
                <w:rFonts w:ascii="Times New Roman" w:hAnsi="Times New Roman" w:cs="Times New Roman"/>
                <w:b/>
                <w:bCs/>
                <w:sz w:val="24"/>
                <w:szCs w:val="24"/>
              </w:rPr>
              <w:t>Type of extract</w:t>
            </w:r>
          </w:p>
        </w:tc>
        <w:tc>
          <w:tcPr>
            <w:tcW w:w="1338" w:type="dxa"/>
            <w:vAlign w:val="center"/>
          </w:tcPr>
          <w:p w:rsidR="00642720" w:rsidRPr="00642720" w:rsidRDefault="00642720" w:rsidP="00642720">
            <w:pPr>
              <w:jc w:val="center"/>
              <w:rPr>
                <w:rFonts w:ascii="Times New Roman" w:hAnsi="Times New Roman" w:cs="Times New Roman"/>
                <w:b/>
                <w:bCs/>
                <w:sz w:val="24"/>
                <w:szCs w:val="24"/>
              </w:rPr>
            </w:pPr>
            <w:r w:rsidRPr="00642720">
              <w:rPr>
                <w:rFonts w:ascii="Times New Roman" w:hAnsi="Times New Roman" w:cs="Times New Roman"/>
                <w:b/>
                <w:bCs/>
                <w:sz w:val="24"/>
                <w:szCs w:val="24"/>
              </w:rPr>
              <w:t>Name of enzyme</w:t>
            </w:r>
          </w:p>
        </w:tc>
        <w:tc>
          <w:tcPr>
            <w:tcW w:w="1338" w:type="dxa"/>
            <w:vAlign w:val="center"/>
          </w:tcPr>
          <w:p w:rsidR="00642720" w:rsidRPr="00642720" w:rsidRDefault="00642720" w:rsidP="00642720">
            <w:pPr>
              <w:jc w:val="center"/>
              <w:rPr>
                <w:rFonts w:ascii="Times New Roman" w:hAnsi="Times New Roman" w:cs="Times New Roman"/>
                <w:b/>
                <w:bCs/>
                <w:sz w:val="24"/>
                <w:szCs w:val="24"/>
              </w:rPr>
            </w:pPr>
            <w:r w:rsidRPr="00642720">
              <w:rPr>
                <w:rFonts w:ascii="Times New Roman" w:hAnsi="Times New Roman" w:cs="Times New Roman"/>
                <w:b/>
                <w:bCs/>
                <w:sz w:val="24"/>
                <w:szCs w:val="24"/>
              </w:rPr>
              <w:t>IC</w:t>
            </w:r>
            <w:r w:rsidRPr="00642720">
              <w:rPr>
                <w:rFonts w:ascii="Times New Roman" w:hAnsi="Times New Roman" w:cs="Times New Roman"/>
                <w:b/>
                <w:bCs/>
                <w:sz w:val="24"/>
                <w:szCs w:val="24"/>
                <w:vertAlign w:val="subscript"/>
              </w:rPr>
              <w:t>50</w:t>
            </w:r>
            <w:r w:rsidRPr="00642720">
              <w:rPr>
                <w:rFonts w:ascii="Times New Roman" w:hAnsi="Times New Roman" w:cs="Times New Roman"/>
                <w:b/>
                <w:bCs/>
                <w:sz w:val="24"/>
                <w:szCs w:val="24"/>
              </w:rPr>
              <w:t xml:space="preserve"> value (µg/ml)</w:t>
            </w:r>
          </w:p>
        </w:tc>
        <w:tc>
          <w:tcPr>
            <w:tcW w:w="1417" w:type="dxa"/>
            <w:vAlign w:val="center"/>
          </w:tcPr>
          <w:p w:rsidR="00642720" w:rsidRPr="00642720" w:rsidRDefault="00642720" w:rsidP="00642720">
            <w:pPr>
              <w:jc w:val="center"/>
              <w:rPr>
                <w:rFonts w:ascii="Times New Roman" w:hAnsi="Times New Roman" w:cs="Times New Roman"/>
                <w:b/>
                <w:bCs/>
                <w:sz w:val="24"/>
                <w:szCs w:val="24"/>
              </w:rPr>
            </w:pPr>
            <w:r w:rsidRPr="00642720">
              <w:rPr>
                <w:rFonts w:ascii="Times New Roman" w:hAnsi="Times New Roman" w:cs="Times New Roman"/>
                <w:b/>
                <w:bCs/>
                <w:sz w:val="24"/>
                <w:szCs w:val="24"/>
              </w:rPr>
              <w:t>References</w:t>
            </w:r>
          </w:p>
        </w:tc>
      </w:tr>
      <w:tr w:rsidR="00642720" w:rsidRPr="00642720" w:rsidTr="00642720">
        <w:trPr>
          <w:trHeight w:val="549"/>
          <w:jc w:val="center"/>
        </w:trPr>
        <w:tc>
          <w:tcPr>
            <w:tcW w:w="1333" w:type="dxa"/>
            <w:vAlign w:val="center"/>
          </w:tcPr>
          <w:p w:rsidR="00642720" w:rsidRPr="00642720" w:rsidRDefault="00642720" w:rsidP="00642720">
            <w:pPr>
              <w:jc w:val="center"/>
              <w:rPr>
                <w:rFonts w:ascii="Times New Roman" w:hAnsi="Times New Roman" w:cs="Times New Roman"/>
                <w:i/>
                <w:sz w:val="24"/>
                <w:szCs w:val="24"/>
              </w:rPr>
            </w:pPr>
            <w:r w:rsidRPr="00642720">
              <w:rPr>
                <w:rFonts w:ascii="Times New Roman" w:hAnsi="Times New Roman" w:cs="Times New Roman"/>
                <w:i/>
                <w:sz w:val="24"/>
                <w:szCs w:val="24"/>
              </w:rPr>
              <w:t>Asparagus racemosus</w:t>
            </w:r>
          </w:p>
        </w:tc>
        <w:tc>
          <w:tcPr>
            <w:tcW w:w="356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Aqueous</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CYP3A4</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656.391</w:t>
            </w:r>
          </w:p>
        </w:tc>
        <w:tc>
          <w:tcPr>
            <w:tcW w:w="1417" w:type="dxa"/>
            <w:vAlign w:val="center"/>
          </w:tcPr>
          <w:p w:rsidR="00642720" w:rsidRPr="00642720" w:rsidRDefault="00FC1752" w:rsidP="00913BB1">
            <w:pPr>
              <w:jc w:val="center"/>
              <w:rPr>
                <w:rFonts w:ascii="Times New Roman" w:hAnsi="Times New Roman" w:cs="Times New Roman"/>
                <w:sz w:val="24"/>
                <w:szCs w:val="24"/>
              </w:rPr>
            </w:pPr>
            <w:r w:rsidRPr="00642720">
              <w:rPr>
                <w:rFonts w:ascii="Times New Roman" w:hAnsi="Times New Roman" w:cs="Times New Roman"/>
                <w:sz w:val="24"/>
                <w:szCs w:val="24"/>
              </w:rPr>
              <w:fldChar w:fldCharType="begin" w:fldLock="1"/>
            </w:r>
            <w:r w:rsidR="00913BB1">
              <w:rPr>
                <w:rFonts w:ascii="Times New Roman" w:hAnsi="Times New Roman" w:cs="Times New Roman"/>
                <w:sz w:val="24"/>
                <w:szCs w:val="24"/>
              </w:rPr>
              <w:instrText>ADDIN CSL_CITATION {"citationItems":[{"id":"ITEM-1","itemData":{"DOI":"10.1016/S2095-4964(15)60173-X","ISSN":"20954964","abstract":"Objective Consuming botanical dietary supplements or herbal drugs along with prescription drugs may lead to potential pharmacokinetic-pharmacodynamic (PK-PD) herb-drug interactions (HDI). The present study focuses on the importance of and novel approach for assessing HDI in integrative medicine with case examples of two frequently-used Ayurvedic Rasayana botanicals. Methods The aqueous extracts of Asparagus racemosus (ARE) and Gymnema sylvester (GSE) were prepared as per Ayurvedic Pharmacopoeia of India. Chemoprofiling of these extracts was done using high-performance liquid chromatography (HPLC). Additionally, ARE was characterized for the presence of shatavarins IV and I using HPLC &amp; mass spectroscopy respectively. Effects of ARE and GSE were investigated on rat liver microsome using testosterone probe drug assay. The changes in formation of metabolite (6-β hydroxy testosterone) were monitored on incubation of testosterone alone, testosterone with ketoconazole, ARE and GSE using HPLC. Half inhibitory concentration (IC50) was used to predict plausible HDI. Results ARE and GSE showed no inhibition with IC50 values &gt;1 000 μg/mL while the standard inhibitor ketoconazole completely abolished CYP3A4-dependent activity at 0.531 μg/mL and IC50 was found to be 0.036 μg/mL. Conclusion ARE and GSE prepared as per Ayurvedic Pharmacopoeia of India were found to be safe for CYP3A4-mediated inhibitory HDI in rats. Our in vitro study suggests the need of further in vivo investigation for HDI in order to provide clinical relevance.","author":[{"dropping-particle":"","family":"Borse","given":"Swapnil P.","non-dropping-particle":"","parse-names":false,"suffix":""},{"dropping-particle":"","family":"Kamble","given":"Bhagyashree B.","non-dropping-particle":"","parse-names":false,"suffix":""}],"container-title":"Journal of Integrative Medicine","id":"ITEM-1","issue":"3","issued":{"date-parts":[["2015"]]},"page":"165-172","publisher":"Journal of Integrative Medicine Editorial Office. E-edition published by Elsevier (Singapore) Pte Ltd. All rights reserved.","title":"Effects of Ayurvedic Rasayana botanicals on CYP3A4 isoenzyme system","type":"article-journal","volume":"13"},"uris":["http://www.mendeley.com/documents/?uuid=14c266eb-6a29-46b9-8bd5-c553d4cbb767"]}],"mendeley":{"formattedCitation":"&lt;sup&gt;1&lt;/sup&gt;","plainTextFormattedCitation":"1","previouslyFormattedCitation":"&lt;sup&gt;1&lt;/sup&gt;"},"properties":{"noteIndex":0},"schema":"https://github.com/citation-style-language/schema/raw/master/csl-citation.json"}</w:instrText>
            </w:r>
            <w:r w:rsidRPr="00642720">
              <w:rPr>
                <w:rFonts w:ascii="Times New Roman" w:hAnsi="Times New Roman" w:cs="Times New Roman"/>
                <w:sz w:val="24"/>
                <w:szCs w:val="24"/>
              </w:rPr>
              <w:fldChar w:fldCharType="separate"/>
            </w:r>
            <w:r w:rsidR="00913BB1" w:rsidRPr="00913BB1">
              <w:rPr>
                <w:rFonts w:ascii="Times New Roman" w:hAnsi="Times New Roman" w:cs="Times New Roman"/>
                <w:noProof/>
                <w:sz w:val="24"/>
                <w:szCs w:val="24"/>
                <w:vertAlign w:val="superscript"/>
              </w:rPr>
              <w:t>1</w:t>
            </w:r>
            <w:r w:rsidRPr="00642720">
              <w:rPr>
                <w:rFonts w:ascii="Times New Roman" w:hAnsi="Times New Roman" w:cs="Times New Roman"/>
                <w:sz w:val="24"/>
                <w:szCs w:val="24"/>
              </w:rPr>
              <w:fldChar w:fldCharType="end"/>
            </w:r>
          </w:p>
        </w:tc>
      </w:tr>
      <w:tr w:rsidR="00642720" w:rsidRPr="00642720" w:rsidTr="00642720">
        <w:trPr>
          <w:trHeight w:val="268"/>
          <w:jc w:val="center"/>
        </w:trPr>
        <w:tc>
          <w:tcPr>
            <w:tcW w:w="1333" w:type="dxa"/>
            <w:vMerge w:val="restart"/>
            <w:vAlign w:val="center"/>
          </w:tcPr>
          <w:p w:rsidR="00642720" w:rsidRPr="00642720" w:rsidRDefault="00642720" w:rsidP="00642720">
            <w:pPr>
              <w:jc w:val="center"/>
              <w:rPr>
                <w:rFonts w:ascii="Times New Roman" w:hAnsi="Times New Roman" w:cs="Times New Roman"/>
                <w:i/>
                <w:sz w:val="24"/>
                <w:szCs w:val="24"/>
              </w:rPr>
            </w:pPr>
            <w:r w:rsidRPr="00642720">
              <w:rPr>
                <w:rFonts w:ascii="Times New Roman" w:hAnsi="Times New Roman" w:cs="Times New Roman"/>
                <w:i/>
                <w:sz w:val="24"/>
                <w:szCs w:val="24"/>
              </w:rPr>
              <w:t>Tinosporacordifolia</w:t>
            </w:r>
          </w:p>
        </w:tc>
        <w:tc>
          <w:tcPr>
            <w:tcW w:w="356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Aqueous</w:t>
            </w:r>
          </w:p>
        </w:tc>
        <w:tc>
          <w:tcPr>
            <w:tcW w:w="1338" w:type="dxa"/>
            <w:vMerge w:val="restart"/>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CYP3A4</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594.1</w:t>
            </w:r>
          </w:p>
        </w:tc>
        <w:tc>
          <w:tcPr>
            <w:tcW w:w="1417" w:type="dxa"/>
            <w:vAlign w:val="center"/>
          </w:tcPr>
          <w:p w:rsidR="00642720" w:rsidRPr="00642720" w:rsidRDefault="00FC1752" w:rsidP="00913BB1">
            <w:pPr>
              <w:jc w:val="center"/>
              <w:rPr>
                <w:rFonts w:ascii="Times New Roman" w:hAnsi="Times New Roman" w:cs="Times New Roman"/>
                <w:sz w:val="24"/>
                <w:szCs w:val="24"/>
              </w:rPr>
            </w:pPr>
            <w:r w:rsidRPr="00642720">
              <w:rPr>
                <w:rFonts w:ascii="Times New Roman" w:hAnsi="Times New Roman" w:cs="Times New Roman"/>
                <w:sz w:val="24"/>
                <w:szCs w:val="24"/>
              </w:rPr>
              <w:fldChar w:fldCharType="begin" w:fldLock="1"/>
            </w:r>
            <w:r w:rsidR="00913BB1">
              <w:rPr>
                <w:rFonts w:ascii="Times New Roman" w:hAnsi="Times New Roman" w:cs="Times New Roman"/>
                <w:sz w:val="24"/>
                <w:szCs w:val="24"/>
              </w:rPr>
              <w:instrText>ADDIN CSL_CITATION {"citationItems":[{"id":"ITEM-1","itemData":{"DOI":"10.1177/1534735413503551","ISSN":"15347354","abstract":"Purpose. Many botanical immunomodulators are used as adjuvants along with cancer chemotherapy. However, information on the impact of concurrent administration of such botanicals on pharmacokinetics of chemotherapy agents is inadequate. This study investigates inhibitory activities of 3 popular botanical adjuvants: Asparagus racemosus (root aqueous extract; ARE), Withania somnifera (root aqueous extract; WSE), and Tinospora cordifolia (stem aqueous extract, TCE) on human CYP3A4 isoenzyme, responsible for metabolism of several chemotherapy agents. Experimental design. Testosterone 6-β hydroxylation was monitored using high-performance liquid chromatography as an indicator of CYP3A4 catalytic activities. Ketoconazole (positive control) and extracts were studied at their in vivo-relevant concentrations. Results. TCE showed mild inhibition while no significant inhibitory activities were observed in WSE and ARE. TCE was further fractionated to obtain polar and nonpolar fractions. The nonpolar fraction showed significant CYP3A4 inhibition with IC50 13.06 ± 1.38 μg/mL. Major constituents of nonpolar fraction were identified using HPLC-DAD-MS profiling as berberine, jatrorrhizine, and palmatine, which showed IC50 values as 6.25 ± 0.30, 15.18 ± 1.59, and 15.53 ± 1.89 μg/mL, respectively. Conclusion. Our findings suggest that constituents of TCE extract especially protoberberine alkaloids have the potential to interact with cancer chemotherapy agents that are metabolized by CYP3A4 in vivo. © The Author(s) 2013.","author":[{"dropping-particle":"","family":"Patil","given":"Dada","non-dropping-particle":"","parse-names":false,"suffix":""},{"dropping-particle":"","family":"Gautam","given":"Manish","non-dropping-particle":"","parse-names":false,"suffix":""},{"dropping-particle":"","family":"Gairola","given":"Sunil","non-dropping-particle":"","parse-names":false,"suffix":""},{"dropping-particle":"","family":"Jadhav","given":"Suresh","non-dropping-particle":"","parse-names":false,"suffix":""},{"dropping-particle":"","family":"Patwardhan","given":"Bhushan","non-dropping-particle":"","parse-names":false,"suffix":""}],"container-title":"Integrative Cancer Therapies","id":"ITEM-1","issue":"2","issued":{"date-parts":[["2014"]]},"page":"167-175","title":"Effect of botanical immunomodulators on human CYP3A4 inhibition: Implications for concurrent use as adjuvants in cancer therapy","type":"article-journal","volume":"13"},"uris":["http://www.mendeley.com/documents/?uuid=4eb32f46-a93a-43d2-ae37-c7eada1d81ff"]}],"mendeley":{"formattedCitation":"&lt;sup&gt;2&lt;/sup&gt;","plainTextFormattedCitation":"2","previouslyFormattedCitation":"&lt;sup&gt;2&lt;/sup&gt;"},"properties":{"noteIndex":0},"schema":"https://github.com/citation-style-language/schema/raw/master/csl-citation.json"}</w:instrText>
            </w:r>
            <w:r w:rsidRPr="00642720">
              <w:rPr>
                <w:rFonts w:ascii="Times New Roman" w:hAnsi="Times New Roman" w:cs="Times New Roman"/>
                <w:sz w:val="24"/>
                <w:szCs w:val="24"/>
              </w:rPr>
              <w:fldChar w:fldCharType="separate"/>
            </w:r>
            <w:r w:rsidR="00913BB1" w:rsidRPr="00913BB1">
              <w:rPr>
                <w:rFonts w:ascii="Times New Roman" w:hAnsi="Times New Roman" w:cs="Times New Roman"/>
                <w:noProof/>
                <w:sz w:val="24"/>
                <w:szCs w:val="24"/>
                <w:vertAlign w:val="superscript"/>
              </w:rPr>
              <w:t>2</w:t>
            </w:r>
            <w:r w:rsidRPr="00642720">
              <w:rPr>
                <w:rFonts w:ascii="Times New Roman" w:hAnsi="Times New Roman" w:cs="Times New Roman"/>
                <w:sz w:val="24"/>
                <w:szCs w:val="24"/>
              </w:rPr>
              <w:fldChar w:fldCharType="end"/>
            </w:r>
          </w:p>
        </w:tc>
      </w:tr>
      <w:tr w:rsidR="00642720" w:rsidRPr="00642720" w:rsidTr="00642720">
        <w:trPr>
          <w:trHeight w:val="145"/>
          <w:jc w:val="center"/>
        </w:trPr>
        <w:tc>
          <w:tcPr>
            <w:tcW w:w="1333" w:type="dxa"/>
            <w:vMerge/>
            <w:vAlign w:val="center"/>
          </w:tcPr>
          <w:p w:rsidR="00642720" w:rsidRPr="00642720" w:rsidRDefault="00642720" w:rsidP="00642720">
            <w:pPr>
              <w:jc w:val="center"/>
              <w:rPr>
                <w:rFonts w:ascii="Times New Roman" w:hAnsi="Times New Roman" w:cs="Times New Roman"/>
                <w:i/>
                <w:sz w:val="24"/>
                <w:szCs w:val="24"/>
              </w:rPr>
            </w:pPr>
          </w:p>
        </w:tc>
        <w:tc>
          <w:tcPr>
            <w:tcW w:w="356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Hydro alcoholic</w:t>
            </w:r>
          </w:p>
        </w:tc>
        <w:tc>
          <w:tcPr>
            <w:tcW w:w="1338" w:type="dxa"/>
            <w:vMerge/>
            <w:vAlign w:val="center"/>
          </w:tcPr>
          <w:p w:rsidR="00642720" w:rsidRPr="00642720" w:rsidRDefault="00642720" w:rsidP="00642720">
            <w:pPr>
              <w:jc w:val="center"/>
              <w:rPr>
                <w:rFonts w:ascii="Times New Roman" w:hAnsi="Times New Roman" w:cs="Times New Roman"/>
                <w:sz w:val="24"/>
                <w:szCs w:val="24"/>
              </w:rPr>
            </w:pP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136.45</w:t>
            </w:r>
          </w:p>
        </w:tc>
        <w:tc>
          <w:tcPr>
            <w:tcW w:w="1417" w:type="dxa"/>
            <w:vMerge w:val="restart"/>
            <w:vAlign w:val="center"/>
          </w:tcPr>
          <w:p w:rsidR="00642720" w:rsidRPr="00642720" w:rsidRDefault="00FC1752" w:rsidP="00913BB1">
            <w:pPr>
              <w:jc w:val="center"/>
              <w:rPr>
                <w:rFonts w:ascii="Times New Roman" w:hAnsi="Times New Roman" w:cs="Times New Roman"/>
                <w:sz w:val="24"/>
                <w:szCs w:val="24"/>
              </w:rPr>
            </w:pPr>
            <w:r w:rsidRPr="00642720">
              <w:rPr>
                <w:rFonts w:ascii="Times New Roman" w:hAnsi="Times New Roman" w:cs="Times New Roman"/>
                <w:sz w:val="24"/>
                <w:szCs w:val="24"/>
              </w:rPr>
              <w:fldChar w:fldCharType="begin" w:fldLock="1"/>
            </w:r>
            <w:r w:rsidR="00913BB1">
              <w:rPr>
                <w:rFonts w:ascii="Times New Roman" w:hAnsi="Times New Roman" w:cs="Times New Roman"/>
                <w:sz w:val="24"/>
                <w:szCs w:val="24"/>
              </w:rPr>
              <w:instrText>ADDIN CSL_CITATION {"citationItems":[{"id":"ITEM-1","itemData":{"DOI":"10.4103/0253-7613.190758","ISSN":"19983751","abstract":"Objective: Tinospora cordifolia is used for treatment of several diseases in Indian system of medicine. In the present study, the inhibition potential of T. cordifolia extracts and its constituent tinosporaside to cause herb-drug interactions through rat and human liver cytochrome enzymes was evaluated. Materials and Methods: Bioactive compound was quantified through reverse phase high-performance liquid chromatography, to standardize the plant extracts and interaction potential of standardized extract. Interaction potential of the test sample was evaluated through cytochrome P450-carbon monoxide complex (CYP450-CO) assay with pooled rat liver microsome. Influence on individual recombinant human liver microsomes such as CYP3A4, CYP2D6, CYP2C9, and CYP1A2 isozymes was analyzed through fluorescence microplate assay, and respective IC 50 values were determined. Results: The content of tinosporaside was found to be 1.64% (w/w) in T. cordifolia extract. Concentration-dependent inhibition was observed through T. cordifolia extract. Observed IC 50 (μg/ml) value was 136.45 (CYP3A4), 144.37 (CYP2D6), 127.55 (CYP2C9), and 141.82 (CYP1A2). Tinosporaside and extract showed higher IC 50 (μg/ml) value than the known inhibitors. T. cordifolia extract showed significantly less interaction potential and indicates that the selected plant has not significant herb-drug interactions relating to the inhibition of major CYP450 isozymes. Conclusions: Plant extract showed significantly higher IC 50 value than respective positive inhibitors against CYP3A4, 2D6, 2C9, and 1A2 isozymes. Consumption of T. cordifolia may not cause any adverse effects when consumed along with other xenobiotics.","author":[{"dropping-particle":"","family":"Bahadur","given":"Shiv","non-dropping-particle":"","parse-names":false,"suffix":""},{"dropping-particle":"","family":"Mukherjee","given":"Pulok","non-dropping-particle":"","parse-names":false,"suffix":""},{"dropping-particle":"","family":"Milan Ahmmed","given":"S.","non-dropping-particle":"","parse-names":false,"suffix":""},{"dropping-particle":"","family":"Kar","given":"Amit","non-dropping-particle":"","parse-names":false,"suffix":""},{"dropping-particle":"","family":"Harwansh","given":"Ranjit","non-dropping-particle":"","parse-names":false,"suffix":""},{"dropping-particle":"","family":"Pandit","given":"Subrata","non-dropping-particle":"","parse-names":false,"suffix":""}],"container-title":"Indian Journal of Pharmacology","id":"ITEM-1","issue":"5","issued":{"date-parts":[["2016"]]},"page":"576-581","title":"Metabolism-mediated interaction potential of standardized extract of Tinospora cordifolia through rat and human liver microsomes","type":"article-journal","volume":"48"},"uris":["http://www.mendeley.com/documents/?uuid=0582fbf0-7bd7-4c41-ad6b-b9229ad464f8"]}],"mendeley":{"formattedCitation":"&lt;sup&gt;3&lt;/sup&gt;","plainTextFormattedCitation":"3","previouslyFormattedCitation":"&lt;sup&gt;3&lt;/sup&gt;"},"properties":{"noteIndex":0},"schema":"https://github.com/citation-style-language/schema/raw/master/csl-citation.json"}</w:instrText>
            </w:r>
            <w:r w:rsidRPr="00642720">
              <w:rPr>
                <w:rFonts w:ascii="Times New Roman" w:hAnsi="Times New Roman" w:cs="Times New Roman"/>
                <w:sz w:val="24"/>
                <w:szCs w:val="24"/>
              </w:rPr>
              <w:fldChar w:fldCharType="separate"/>
            </w:r>
            <w:r w:rsidR="00913BB1" w:rsidRPr="00913BB1">
              <w:rPr>
                <w:rFonts w:ascii="Times New Roman" w:hAnsi="Times New Roman" w:cs="Times New Roman"/>
                <w:noProof/>
                <w:sz w:val="24"/>
                <w:szCs w:val="24"/>
                <w:vertAlign w:val="superscript"/>
              </w:rPr>
              <w:t>3</w:t>
            </w:r>
            <w:r w:rsidRPr="00642720">
              <w:rPr>
                <w:rFonts w:ascii="Times New Roman" w:hAnsi="Times New Roman" w:cs="Times New Roman"/>
                <w:sz w:val="24"/>
                <w:szCs w:val="24"/>
              </w:rPr>
              <w:fldChar w:fldCharType="end"/>
            </w:r>
          </w:p>
        </w:tc>
      </w:tr>
      <w:tr w:rsidR="00642720" w:rsidRPr="00642720" w:rsidTr="00642720">
        <w:trPr>
          <w:trHeight w:val="145"/>
          <w:jc w:val="center"/>
        </w:trPr>
        <w:tc>
          <w:tcPr>
            <w:tcW w:w="1333" w:type="dxa"/>
            <w:vMerge/>
            <w:vAlign w:val="center"/>
          </w:tcPr>
          <w:p w:rsidR="00642720" w:rsidRPr="00642720" w:rsidRDefault="00642720" w:rsidP="00642720">
            <w:pPr>
              <w:jc w:val="center"/>
              <w:rPr>
                <w:rFonts w:ascii="Times New Roman" w:hAnsi="Times New Roman" w:cs="Times New Roman"/>
                <w:i/>
                <w:sz w:val="24"/>
                <w:szCs w:val="24"/>
              </w:rPr>
            </w:pPr>
          </w:p>
        </w:tc>
        <w:tc>
          <w:tcPr>
            <w:tcW w:w="3568" w:type="dxa"/>
            <w:vMerge w:val="restart"/>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Hydro alcoholic</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CYP1A2</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141.82</w:t>
            </w:r>
          </w:p>
        </w:tc>
        <w:tc>
          <w:tcPr>
            <w:tcW w:w="1417" w:type="dxa"/>
            <w:vMerge/>
            <w:vAlign w:val="center"/>
          </w:tcPr>
          <w:p w:rsidR="00642720" w:rsidRPr="00642720" w:rsidRDefault="00642720" w:rsidP="00642720">
            <w:pPr>
              <w:jc w:val="center"/>
              <w:rPr>
                <w:rFonts w:ascii="Times New Roman" w:hAnsi="Times New Roman" w:cs="Times New Roman"/>
                <w:sz w:val="24"/>
                <w:szCs w:val="24"/>
              </w:rPr>
            </w:pPr>
          </w:p>
        </w:tc>
      </w:tr>
      <w:tr w:rsidR="00642720" w:rsidRPr="00642720" w:rsidTr="00642720">
        <w:trPr>
          <w:trHeight w:val="145"/>
          <w:jc w:val="center"/>
        </w:trPr>
        <w:tc>
          <w:tcPr>
            <w:tcW w:w="1333" w:type="dxa"/>
            <w:vMerge/>
            <w:vAlign w:val="center"/>
          </w:tcPr>
          <w:p w:rsidR="00642720" w:rsidRPr="00642720" w:rsidRDefault="00642720" w:rsidP="00642720">
            <w:pPr>
              <w:jc w:val="center"/>
              <w:rPr>
                <w:rFonts w:ascii="Times New Roman" w:hAnsi="Times New Roman" w:cs="Times New Roman"/>
                <w:i/>
                <w:sz w:val="24"/>
                <w:szCs w:val="24"/>
              </w:rPr>
            </w:pPr>
          </w:p>
        </w:tc>
        <w:tc>
          <w:tcPr>
            <w:tcW w:w="3568" w:type="dxa"/>
            <w:vMerge/>
            <w:vAlign w:val="center"/>
          </w:tcPr>
          <w:p w:rsidR="00642720" w:rsidRPr="00642720" w:rsidRDefault="00642720" w:rsidP="00642720">
            <w:pPr>
              <w:jc w:val="center"/>
              <w:rPr>
                <w:rFonts w:ascii="Times New Roman" w:hAnsi="Times New Roman" w:cs="Times New Roman"/>
                <w:sz w:val="24"/>
                <w:szCs w:val="24"/>
              </w:rPr>
            </w:pP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CYP2C9</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127.55</w:t>
            </w:r>
          </w:p>
        </w:tc>
        <w:tc>
          <w:tcPr>
            <w:tcW w:w="1417" w:type="dxa"/>
            <w:vMerge/>
            <w:vAlign w:val="center"/>
          </w:tcPr>
          <w:p w:rsidR="00642720" w:rsidRPr="00642720" w:rsidRDefault="00642720" w:rsidP="00642720">
            <w:pPr>
              <w:jc w:val="center"/>
              <w:rPr>
                <w:rFonts w:ascii="Times New Roman" w:hAnsi="Times New Roman" w:cs="Times New Roman"/>
                <w:sz w:val="24"/>
                <w:szCs w:val="24"/>
              </w:rPr>
            </w:pPr>
          </w:p>
        </w:tc>
      </w:tr>
      <w:tr w:rsidR="00642720" w:rsidRPr="00642720" w:rsidTr="00642720">
        <w:trPr>
          <w:trHeight w:val="145"/>
          <w:jc w:val="center"/>
        </w:trPr>
        <w:tc>
          <w:tcPr>
            <w:tcW w:w="1333" w:type="dxa"/>
            <w:vMerge/>
            <w:vAlign w:val="center"/>
          </w:tcPr>
          <w:p w:rsidR="00642720" w:rsidRPr="00642720" w:rsidRDefault="00642720" w:rsidP="00642720">
            <w:pPr>
              <w:jc w:val="center"/>
              <w:rPr>
                <w:rFonts w:ascii="Times New Roman" w:hAnsi="Times New Roman" w:cs="Times New Roman"/>
                <w:i/>
                <w:sz w:val="24"/>
                <w:szCs w:val="24"/>
              </w:rPr>
            </w:pPr>
          </w:p>
        </w:tc>
        <w:tc>
          <w:tcPr>
            <w:tcW w:w="3568" w:type="dxa"/>
            <w:vMerge/>
            <w:vAlign w:val="center"/>
          </w:tcPr>
          <w:p w:rsidR="00642720" w:rsidRPr="00642720" w:rsidRDefault="00642720" w:rsidP="00642720">
            <w:pPr>
              <w:jc w:val="center"/>
              <w:rPr>
                <w:rFonts w:ascii="Times New Roman" w:hAnsi="Times New Roman" w:cs="Times New Roman"/>
                <w:sz w:val="24"/>
                <w:szCs w:val="24"/>
              </w:rPr>
            </w:pP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CYP2D6</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144.37</w:t>
            </w:r>
          </w:p>
        </w:tc>
        <w:tc>
          <w:tcPr>
            <w:tcW w:w="1417" w:type="dxa"/>
            <w:vMerge/>
            <w:vAlign w:val="center"/>
          </w:tcPr>
          <w:p w:rsidR="00642720" w:rsidRPr="00642720" w:rsidRDefault="00642720" w:rsidP="00642720">
            <w:pPr>
              <w:jc w:val="center"/>
              <w:rPr>
                <w:rFonts w:ascii="Times New Roman" w:hAnsi="Times New Roman" w:cs="Times New Roman"/>
                <w:sz w:val="24"/>
                <w:szCs w:val="24"/>
              </w:rPr>
            </w:pPr>
          </w:p>
        </w:tc>
      </w:tr>
      <w:tr w:rsidR="00642720" w:rsidRPr="00642720" w:rsidTr="00642720">
        <w:trPr>
          <w:trHeight w:val="549"/>
          <w:jc w:val="center"/>
        </w:trPr>
        <w:tc>
          <w:tcPr>
            <w:tcW w:w="1333" w:type="dxa"/>
            <w:vMerge w:val="restart"/>
            <w:vAlign w:val="center"/>
          </w:tcPr>
          <w:p w:rsidR="00642720" w:rsidRPr="00642720" w:rsidRDefault="00642720" w:rsidP="00642720">
            <w:pPr>
              <w:jc w:val="center"/>
              <w:rPr>
                <w:rFonts w:ascii="Times New Roman" w:hAnsi="Times New Roman" w:cs="Times New Roman"/>
                <w:i/>
                <w:sz w:val="24"/>
                <w:szCs w:val="24"/>
              </w:rPr>
            </w:pPr>
            <w:r w:rsidRPr="00642720">
              <w:rPr>
                <w:rFonts w:ascii="Times New Roman" w:hAnsi="Times New Roman" w:cs="Times New Roman"/>
                <w:i/>
                <w:sz w:val="24"/>
                <w:szCs w:val="24"/>
              </w:rPr>
              <w:t>Withaniasomnifera</w:t>
            </w:r>
          </w:p>
        </w:tc>
        <w:tc>
          <w:tcPr>
            <w:tcW w:w="356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Aqueous, Methanolic, Hydromethanolic and Ethanolic</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CYP1A2</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&gt;100</w:t>
            </w:r>
          </w:p>
        </w:tc>
        <w:tc>
          <w:tcPr>
            <w:tcW w:w="1417" w:type="dxa"/>
            <w:vMerge w:val="restart"/>
            <w:vAlign w:val="center"/>
          </w:tcPr>
          <w:p w:rsidR="00642720" w:rsidRPr="00642720" w:rsidRDefault="00FC1752" w:rsidP="00913BB1">
            <w:pPr>
              <w:jc w:val="center"/>
              <w:rPr>
                <w:rFonts w:ascii="Times New Roman" w:hAnsi="Times New Roman" w:cs="Times New Roman"/>
                <w:sz w:val="24"/>
                <w:szCs w:val="24"/>
              </w:rPr>
            </w:pPr>
            <w:r w:rsidRPr="00642720">
              <w:rPr>
                <w:rFonts w:ascii="Times New Roman" w:hAnsi="Times New Roman" w:cs="Times New Roman"/>
                <w:sz w:val="24"/>
                <w:szCs w:val="24"/>
              </w:rPr>
              <w:fldChar w:fldCharType="begin" w:fldLock="1"/>
            </w:r>
            <w:r w:rsidR="00913BB1">
              <w:rPr>
                <w:rFonts w:ascii="Times New Roman" w:hAnsi="Times New Roman" w:cs="Times New Roman"/>
                <w:sz w:val="24"/>
                <w:szCs w:val="24"/>
              </w:rPr>
              <w:instrText>ADDIN CSL_CITATION {"citationItems":[{"id":"ITEM-1","itemData":{"DOI":"10.1177/1534735413503551","ISSN":"15347354","abstract":"Purpose. Many botanical immunomodulators are used as adjuvants along with cancer chemotherapy. However, information on the impact of concurrent administration of such botanicals on pharmacokinetics of chemotherapy agents is inadequate. This study investigates inhibitory activities of 3 popular botanical adjuvants: Asparagus racemosus (root aqueous extract; ARE), Withania somnifera (root aqueous extract; WSE), and Tinospora cordifolia (stem aqueous extract, TCE) on human CYP3A4 isoenzyme, responsible for metabolism of several chemotherapy agents. Experimental design. Testosterone 6-β hydroxylation was monitored using high-performance liquid chromatography as an indicator of CYP3A4 catalytic activities. Ketoconazole (positive control) and extracts were studied at their in vivo-relevant concentrations. Results. TCE showed mild inhibition while no significant inhibitory activities were observed in WSE and ARE. TCE was further fractionated to obtain polar and nonpolar fractions. The nonpolar fraction showed significant CYP3A4 inhibition with IC50 13.06 ± 1.38 μg/mL. Major constituents of nonpolar fraction were identified using HPLC-DAD-MS profiling as berberine, jatrorrhizine, and palmatine, which showed IC50 values as 6.25 ± 0.30, 15.18 ± 1.59, and 15.53 ± 1.89 μg/mL, respectively. Conclusion. Our findings suggest that constituents of TCE extract especially protoberberine alkaloids have the potential to interact with cancer chemotherapy agents that are metabolized by CYP3A4 in vivo. © The Author(s) 2013.","author":[{"dropping-particle":"","family":"Patil","given":"Dada","non-dropping-particle":"","parse-names":false,"suffix":""},{"dropping-particle":"","family":"Gautam","given":"Manish","non-dropping-particle":"","parse-names":false,"suffix":""},{"dropping-particle":"","family":"Gairola","given":"Sunil","non-dropping-particle":"","parse-names":false,"suffix":""},{"dropping-particle":"","family":"Jadhav","given":"Suresh","non-dropping-particle":"","parse-names":false,"suffix":""},{"dropping-particle":"","family":"Patwardhan","given":"Bhushan","non-dropping-particle":"","parse-names":false,"suffix":""}],"container-title":"Integrative Cancer Therapies","id":"ITEM-1","issue":"2","issued":{"date-parts":[["2014"]]},"page":"167-175","title":"Effect of botanical immunomodulators on human CYP3A4 inhibition: Implications for concurrent use as adjuvants in cancer therapy","type":"article-journal","volume":"13"},"uris":["http://www.mendeley.com/documents/?uuid=4eb32f46-a93a-43d2-ae37-c7eada1d81ff"]}],"mendeley":{"formattedCitation":"&lt;sup&gt;2&lt;/sup&gt;","plainTextFormattedCitation":"2","previouslyFormattedCitation":"&lt;sup&gt;2&lt;/sup&gt;"},"properties":{"noteIndex":0},"schema":"https://github.com/citation-style-language/schema/raw/master/csl-citation.json"}</w:instrText>
            </w:r>
            <w:r w:rsidRPr="00642720">
              <w:rPr>
                <w:rFonts w:ascii="Times New Roman" w:hAnsi="Times New Roman" w:cs="Times New Roman"/>
                <w:sz w:val="24"/>
                <w:szCs w:val="24"/>
              </w:rPr>
              <w:fldChar w:fldCharType="separate"/>
            </w:r>
            <w:r w:rsidR="00913BB1" w:rsidRPr="00913BB1">
              <w:rPr>
                <w:rFonts w:ascii="Times New Roman" w:hAnsi="Times New Roman" w:cs="Times New Roman"/>
                <w:noProof/>
                <w:sz w:val="24"/>
                <w:szCs w:val="24"/>
                <w:vertAlign w:val="superscript"/>
              </w:rPr>
              <w:t>2</w:t>
            </w:r>
            <w:r w:rsidRPr="00642720">
              <w:rPr>
                <w:rFonts w:ascii="Times New Roman" w:hAnsi="Times New Roman" w:cs="Times New Roman"/>
                <w:sz w:val="24"/>
                <w:szCs w:val="24"/>
              </w:rPr>
              <w:fldChar w:fldCharType="end"/>
            </w:r>
            <w:r w:rsidR="005D7A42">
              <w:rPr>
                <w:rFonts w:ascii="Times New Roman" w:hAnsi="Times New Roman" w:cs="Times New Roman"/>
                <w:sz w:val="24"/>
                <w:szCs w:val="24"/>
                <w:vertAlign w:val="superscript"/>
              </w:rPr>
              <w:t>,</w:t>
            </w:r>
            <w:r w:rsidRPr="00642720">
              <w:rPr>
                <w:rFonts w:ascii="Times New Roman" w:hAnsi="Times New Roman" w:cs="Times New Roman"/>
                <w:sz w:val="24"/>
                <w:szCs w:val="24"/>
              </w:rPr>
              <w:fldChar w:fldCharType="begin" w:fldLock="1"/>
            </w:r>
            <w:r w:rsidR="00913BB1">
              <w:rPr>
                <w:rFonts w:ascii="Times New Roman" w:hAnsi="Times New Roman" w:cs="Times New Roman"/>
                <w:sz w:val="24"/>
                <w:szCs w:val="24"/>
              </w:rPr>
              <w:instrText>ADDIN CSL_CITATION {"citationItems":[{"id":"ITEM-1","itemData":{"DOI":"10.1002/ptr.5308","ISSN":"10991573","abstract":"Withania somnifera is commonly used as a rejuvenator, whereas Centella asiatica is well known for its anxiolytic and nootropic effects. The present study aims at investigating the effect of crude extracts and principal phytoconstituents of both the medicinal plants with CYP3A4 and CYP2D6 enzyme activity in human liver microsomes (HLM). Phytoconstituents were quantified in the crude extracts of both the medicinal plants using reverse phase HPLC. Crude extracts and phytoconstituents of W. somnifera showed no significant interaction with both CYP3A4 and CYP2D6 enzymes in HLM. Of the crude extracts of C.-asiatica screened in vitro, methanolic extract showed potent noncompetitive inhibition of only CYP3A4 enzyme (Ki - 64.36± 1.82 μg/mL), whereas ethanol solution extract showed potent noncompetitive inhibition of only CYP2D6 enzyme (Ki - 36.3 ± 0.44 μg/mL). The flavonoids, quercetin, and kaempferol showed potent (IC50 values less than 100 μM) inhibition of CYP3A4 activity, whereas quercetin alone showed potent inhibition of CYP2D6 activity in HLM. Because methanolic extract of C. asiatica showed a relatively high percentage content of quercetin and kaempferol than ethanol solution extract, the inhibitory effect of methanolic extract on CYP3A4 enzyme activity could be attributed to the flavonoids. Thus, co-administration of the alcoholic extracts of C. asiatica with drugs that are substrates of CYP3A4 and CYP2D6 enzymes may lead to undesirable herb-drug interactions in humans.","author":[{"dropping-particle":"","family":"Savai","given":"Jay","non-dropping-particle":"","parse-names":false,"suffix":""},{"dropping-particle":"","family":"Varghese","given":"Alice","non-dropping-particle":"","parse-names":false,"suffix":""},{"dropping-particle":"","family":"Pandita","given":"Nancy","non-dropping-particle":"","parse-names":false,"suffix":""},{"dropping-particle":"","family":"Chintamaneni","given":"Meena","non-dropping-particle":"","parse-names":false,"suffix":""}],"container-title":"Phytotherapy Research","id":"ITEM-1","issue":"5","issued":{"date-parts":[["2015"]]},"page":"785-790","title":"Investigation of CYP3A4 and CYP2D6 interactions of withania somnifera and centella asiatica in human liver microsomes","type":"article-journal","volume":"29"},"uris":["http://www.mendeley.com/documents/?uuid=82a59dda-6c84-4cbc-a80d-0d13246e4662"]}],"mendeley":{"formattedCitation":"&lt;sup&gt;4&lt;/sup&gt;","plainTextFormattedCitation":"4","previouslyFormattedCitation":"&lt;sup&gt;4&lt;/sup&gt;"},"properties":{"noteIndex":0},"schema":"https://github.com/citation-style-language/schema/raw/master/csl-citation.json"}</w:instrText>
            </w:r>
            <w:r w:rsidRPr="00642720">
              <w:rPr>
                <w:rFonts w:ascii="Times New Roman" w:hAnsi="Times New Roman" w:cs="Times New Roman"/>
                <w:sz w:val="24"/>
                <w:szCs w:val="24"/>
              </w:rPr>
              <w:fldChar w:fldCharType="separate"/>
            </w:r>
            <w:r w:rsidR="00913BB1" w:rsidRPr="00913BB1">
              <w:rPr>
                <w:rFonts w:ascii="Times New Roman" w:hAnsi="Times New Roman" w:cs="Times New Roman"/>
                <w:noProof/>
                <w:sz w:val="24"/>
                <w:szCs w:val="24"/>
                <w:vertAlign w:val="superscript"/>
              </w:rPr>
              <w:t>4</w:t>
            </w:r>
            <w:r w:rsidRPr="00642720">
              <w:rPr>
                <w:rFonts w:ascii="Times New Roman" w:hAnsi="Times New Roman" w:cs="Times New Roman"/>
                <w:sz w:val="24"/>
                <w:szCs w:val="24"/>
              </w:rPr>
              <w:fldChar w:fldCharType="end"/>
            </w:r>
            <w:r w:rsidR="005D7A42">
              <w:rPr>
                <w:rFonts w:ascii="Times New Roman" w:hAnsi="Times New Roman" w:cs="Times New Roman"/>
                <w:sz w:val="24"/>
                <w:szCs w:val="24"/>
                <w:vertAlign w:val="superscript"/>
              </w:rPr>
              <w:t>,</w:t>
            </w:r>
            <w:bookmarkStart w:id="0" w:name="_GoBack"/>
            <w:bookmarkEnd w:id="0"/>
            <w:r w:rsidRPr="00642720">
              <w:rPr>
                <w:rFonts w:ascii="Times New Roman" w:hAnsi="Times New Roman" w:cs="Times New Roman"/>
                <w:sz w:val="24"/>
                <w:szCs w:val="24"/>
              </w:rPr>
              <w:fldChar w:fldCharType="begin" w:fldLock="1"/>
            </w:r>
            <w:r w:rsidR="00913BB1">
              <w:rPr>
                <w:rFonts w:ascii="Times New Roman" w:hAnsi="Times New Roman" w:cs="Times New Roman"/>
                <w:sz w:val="24"/>
                <w:szCs w:val="24"/>
              </w:rPr>
              <w:instrText>ADDIN CSL_CITATION {"citationItems":[{"id":"ITEM-1","itemData":{"DOI":"10.1515/dmdi-2014-0035","ISBN":"0982031912","ISSN":"23638915","abstract":"Background: Several herbal drugs and allopathic medicines when co-administered can lead to severe herb-drug interactions. Hence, this study was undertaken in order to assess the in vitro inhibition potential of Withania somnifera and Centella asiatica with cytochrome P450 (CYP) 1A2 and 2C9 enzyme using human liver microsomes. Methods: Inhibitory potential of crude extracts of both the medicinal plants along with their principal phytoconstituents were investigated using selective probe substrate technique. IC50, Ki values and mode of inhibition were determined. Results: The results of the study revealed that W. somnifera showed no significant interaction with both the isoforms of CYP. However, ethanolic extract of C. asiatica significantly inhibited both CYP1A2 (IC50 value - 42.23±3.65 μg/mL/Ki value - 14.93±4.59 μg/mL) and 2C9 enzyme (IC50 value - 48.41±4.64 μg/mL/Ki value - 23.89±3.14 μg/mL) in a competitive manner. The flavonoids, quercetin and kaempferol showed potent (IC50 values less than 10 μM) inhibition of CYP1A2 activity with no significant inhibition of CYP2C9 enzyme. Conclusions: Thus, these findings of the study might be helpful for safe and effective use of C. asiatica in clinical practice. However, its in vivo interaction study in humans is still warranted.","author":[{"dropping-particle":"","family":"Savai","given":"Jay","non-dropping-particle":"","parse-names":false,"suffix":""},{"dropping-particle":"","family":"Varghese","given":"Alice","non-dropping-particle":"","parse-names":false,"suffix":""},{"dropping-particle":"","family":"Pandita","given":"Nancy","non-dropping-particle":"","parse-names":false,"suffix":""},{"dropping-particle":"","family":"Chintamaneni","given":"Meena","non-dropping-particle":"","parse-names":false,"suffix":""}],"container-title":"Drug Metabolism and Personalized Therapy","id":"ITEM-1","issue":"2","issued":{"date-parts":[["2015"]]},"page":"137-141","title":"In vitro assessment of CYP1A2 and 2C9 inhibition potential of Withania somnifera and Centella asiatica in human liver microsomes","type":"article-journal","volume":"30"},"uris":["http://www.mendeley.com/documents/?uuid=070e6dbe-bd6e-49d8-baec-84220b69c125"]}],"mendeley":{"formattedCitation":"&lt;sup&gt;5&lt;/sup&gt;","plainTextFormattedCitation":"5","previouslyFormattedCitation":"&lt;sup&gt;5&lt;/sup&gt;"},"properties":{"noteIndex":0},"schema":"https://github.com/citation-style-language/schema/raw/master/csl-citation.json"}</w:instrText>
            </w:r>
            <w:r w:rsidRPr="00642720">
              <w:rPr>
                <w:rFonts w:ascii="Times New Roman" w:hAnsi="Times New Roman" w:cs="Times New Roman"/>
                <w:sz w:val="24"/>
                <w:szCs w:val="24"/>
              </w:rPr>
              <w:fldChar w:fldCharType="separate"/>
            </w:r>
            <w:r w:rsidR="00913BB1" w:rsidRPr="00913BB1">
              <w:rPr>
                <w:rFonts w:ascii="Times New Roman" w:hAnsi="Times New Roman" w:cs="Times New Roman"/>
                <w:noProof/>
                <w:sz w:val="24"/>
                <w:szCs w:val="24"/>
                <w:vertAlign w:val="superscript"/>
              </w:rPr>
              <w:t>5</w:t>
            </w:r>
            <w:r w:rsidRPr="00642720">
              <w:rPr>
                <w:rFonts w:ascii="Times New Roman" w:hAnsi="Times New Roman" w:cs="Times New Roman"/>
                <w:sz w:val="24"/>
                <w:szCs w:val="24"/>
              </w:rPr>
              <w:fldChar w:fldCharType="end"/>
            </w:r>
          </w:p>
        </w:tc>
      </w:tr>
      <w:tr w:rsidR="00642720" w:rsidRPr="00642720" w:rsidTr="00642720">
        <w:trPr>
          <w:trHeight w:val="145"/>
          <w:jc w:val="center"/>
        </w:trPr>
        <w:tc>
          <w:tcPr>
            <w:tcW w:w="1333" w:type="dxa"/>
            <w:vMerge/>
            <w:vAlign w:val="center"/>
          </w:tcPr>
          <w:p w:rsidR="00642720" w:rsidRPr="00642720" w:rsidRDefault="00642720" w:rsidP="00642720">
            <w:pPr>
              <w:jc w:val="center"/>
              <w:rPr>
                <w:rFonts w:ascii="Times New Roman" w:hAnsi="Times New Roman" w:cs="Times New Roman"/>
                <w:sz w:val="24"/>
                <w:szCs w:val="24"/>
              </w:rPr>
            </w:pPr>
          </w:p>
        </w:tc>
        <w:tc>
          <w:tcPr>
            <w:tcW w:w="356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Aqueous, Methanolic, Hydromethanolic and Ethanolic</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CYP2C9</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&gt;100</w:t>
            </w:r>
          </w:p>
        </w:tc>
        <w:tc>
          <w:tcPr>
            <w:tcW w:w="1417" w:type="dxa"/>
            <w:vMerge/>
            <w:vAlign w:val="center"/>
          </w:tcPr>
          <w:p w:rsidR="00642720" w:rsidRPr="00642720" w:rsidRDefault="00642720" w:rsidP="00642720">
            <w:pPr>
              <w:jc w:val="center"/>
              <w:rPr>
                <w:rFonts w:ascii="Times New Roman" w:hAnsi="Times New Roman" w:cs="Times New Roman"/>
                <w:sz w:val="24"/>
                <w:szCs w:val="24"/>
              </w:rPr>
            </w:pPr>
          </w:p>
        </w:tc>
      </w:tr>
      <w:tr w:rsidR="00642720" w:rsidRPr="00642720" w:rsidTr="00642720">
        <w:trPr>
          <w:trHeight w:val="145"/>
          <w:jc w:val="center"/>
        </w:trPr>
        <w:tc>
          <w:tcPr>
            <w:tcW w:w="1333" w:type="dxa"/>
            <w:vMerge/>
            <w:vAlign w:val="center"/>
          </w:tcPr>
          <w:p w:rsidR="00642720" w:rsidRPr="00642720" w:rsidRDefault="00642720" w:rsidP="00642720">
            <w:pPr>
              <w:jc w:val="center"/>
              <w:rPr>
                <w:rFonts w:ascii="Times New Roman" w:hAnsi="Times New Roman" w:cs="Times New Roman"/>
                <w:sz w:val="24"/>
                <w:szCs w:val="24"/>
              </w:rPr>
            </w:pPr>
          </w:p>
        </w:tc>
        <w:tc>
          <w:tcPr>
            <w:tcW w:w="356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Aqueous, Methanolic, Hydromethanolic and Ethanolic</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CYP2D6</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326.0, 184.0, &gt;640 and 142.0</w:t>
            </w:r>
          </w:p>
        </w:tc>
        <w:tc>
          <w:tcPr>
            <w:tcW w:w="1417" w:type="dxa"/>
            <w:vMerge/>
            <w:vAlign w:val="center"/>
          </w:tcPr>
          <w:p w:rsidR="00642720" w:rsidRPr="00642720" w:rsidRDefault="00642720" w:rsidP="00642720">
            <w:pPr>
              <w:jc w:val="center"/>
              <w:rPr>
                <w:rFonts w:ascii="Times New Roman" w:hAnsi="Times New Roman" w:cs="Times New Roman"/>
                <w:sz w:val="24"/>
                <w:szCs w:val="24"/>
              </w:rPr>
            </w:pPr>
          </w:p>
        </w:tc>
      </w:tr>
      <w:tr w:rsidR="00642720" w:rsidRPr="00642720" w:rsidTr="00642720">
        <w:trPr>
          <w:trHeight w:val="145"/>
          <w:jc w:val="center"/>
        </w:trPr>
        <w:tc>
          <w:tcPr>
            <w:tcW w:w="1333" w:type="dxa"/>
            <w:vMerge/>
            <w:vAlign w:val="center"/>
          </w:tcPr>
          <w:p w:rsidR="00642720" w:rsidRPr="00642720" w:rsidRDefault="00642720" w:rsidP="00642720">
            <w:pPr>
              <w:jc w:val="center"/>
              <w:rPr>
                <w:rFonts w:ascii="Times New Roman" w:hAnsi="Times New Roman" w:cs="Times New Roman"/>
                <w:sz w:val="24"/>
                <w:szCs w:val="24"/>
              </w:rPr>
            </w:pPr>
          </w:p>
        </w:tc>
        <w:tc>
          <w:tcPr>
            <w:tcW w:w="356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Aqueous, Methanolic, Hydromethanolic and Ethanolic</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CYP3A4</w:t>
            </w:r>
          </w:p>
        </w:tc>
        <w:tc>
          <w:tcPr>
            <w:tcW w:w="1338" w:type="dxa"/>
            <w:vAlign w:val="center"/>
          </w:tcPr>
          <w:p w:rsidR="00642720" w:rsidRPr="00642720" w:rsidRDefault="00642720" w:rsidP="00642720">
            <w:pPr>
              <w:jc w:val="center"/>
              <w:rPr>
                <w:rFonts w:ascii="Times New Roman" w:hAnsi="Times New Roman" w:cs="Times New Roman"/>
                <w:sz w:val="24"/>
                <w:szCs w:val="24"/>
              </w:rPr>
            </w:pPr>
            <w:r w:rsidRPr="00642720">
              <w:rPr>
                <w:rFonts w:ascii="Times New Roman" w:hAnsi="Times New Roman" w:cs="Times New Roman"/>
                <w:sz w:val="24"/>
                <w:szCs w:val="24"/>
              </w:rPr>
              <w:t>&gt;1000, &gt;640, &gt;640 and 170.6</w:t>
            </w:r>
          </w:p>
        </w:tc>
        <w:tc>
          <w:tcPr>
            <w:tcW w:w="1417" w:type="dxa"/>
            <w:vMerge/>
            <w:vAlign w:val="center"/>
          </w:tcPr>
          <w:p w:rsidR="00642720" w:rsidRPr="00642720" w:rsidRDefault="00642720" w:rsidP="00642720">
            <w:pPr>
              <w:jc w:val="center"/>
              <w:rPr>
                <w:rFonts w:ascii="Times New Roman" w:hAnsi="Times New Roman" w:cs="Times New Roman"/>
                <w:sz w:val="24"/>
                <w:szCs w:val="24"/>
              </w:rPr>
            </w:pPr>
          </w:p>
        </w:tc>
      </w:tr>
    </w:tbl>
    <w:p w:rsidR="00913BB1" w:rsidRDefault="00E23802" w:rsidP="00E23802">
      <w:pPr>
        <w:spacing w:before="120" w:after="240" w:line="259" w:lineRule="auto"/>
        <w:ind w:firstLine="720"/>
        <w:contextualSpacing/>
        <w:jc w:val="both"/>
        <w:rPr>
          <w:rFonts w:ascii="Times New Roman" w:eastAsia="Calibri" w:hAnsi="Times New Roman" w:cs="Times New Roman"/>
          <w:sz w:val="24"/>
          <w:szCs w:val="24"/>
          <w:lang w:val="en-IN" w:bidi="mr-IN"/>
        </w:rPr>
      </w:pPr>
      <w:r>
        <w:rPr>
          <w:rFonts w:ascii="Times New Roman" w:eastAsia="Calibri" w:hAnsi="Times New Roman" w:cs="Times New Roman"/>
          <w:sz w:val="24"/>
          <w:szCs w:val="24"/>
          <w:lang w:val="en-IN" w:bidi="mr-IN"/>
        </w:rPr>
        <w:t xml:space="preserve">Note: </w:t>
      </w:r>
      <w:r w:rsidRPr="00E23802">
        <w:rPr>
          <w:rFonts w:ascii="Times New Roman" w:eastAsia="Calibri" w:hAnsi="Times New Roman" w:cs="Times New Roman"/>
          <w:sz w:val="24"/>
          <w:szCs w:val="24"/>
          <w:lang w:val="en-IN" w:bidi="mr-IN"/>
        </w:rPr>
        <w:t>This table has been prepared from the published literature</w:t>
      </w:r>
    </w:p>
    <w:p w:rsidR="00913BB1" w:rsidRDefault="00913BB1">
      <w:pPr>
        <w:rPr>
          <w:rFonts w:ascii="Times New Roman" w:eastAsia="Calibri" w:hAnsi="Times New Roman" w:cs="Times New Roman"/>
          <w:sz w:val="24"/>
          <w:szCs w:val="24"/>
          <w:lang w:val="en-IN" w:bidi="mr-IN"/>
        </w:rPr>
      </w:pPr>
      <w:r>
        <w:rPr>
          <w:rFonts w:ascii="Times New Roman" w:eastAsia="Calibri" w:hAnsi="Times New Roman" w:cs="Times New Roman"/>
          <w:sz w:val="24"/>
          <w:szCs w:val="24"/>
          <w:lang w:val="en-IN" w:bidi="mr-IN"/>
        </w:rPr>
        <w:br w:type="page"/>
      </w:r>
    </w:p>
    <w:p w:rsidR="00642720" w:rsidRPr="00E23802" w:rsidRDefault="00642720" w:rsidP="00E23802">
      <w:pPr>
        <w:spacing w:before="120" w:after="240" w:line="259" w:lineRule="auto"/>
        <w:ind w:firstLine="720"/>
        <w:contextualSpacing/>
        <w:jc w:val="both"/>
        <w:rPr>
          <w:rFonts w:ascii="Times New Roman" w:eastAsia="Calibri" w:hAnsi="Times New Roman" w:cs="Times New Roman"/>
          <w:sz w:val="24"/>
          <w:szCs w:val="24"/>
          <w:lang w:val="en-IN" w:bidi="mr-IN"/>
        </w:rPr>
      </w:pPr>
    </w:p>
    <w:p w:rsidR="00913BB1" w:rsidRPr="00685F41" w:rsidRDefault="00FC1752" w:rsidP="00685F41">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685F41">
        <w:rPr>
          <w:rFonts w:ascii="Times New Roman" w:hAnsi="Times New Roman" w:cs="Times New Roman"/>
          <w:sz w:val="24"/>
        </w:rPr>
        <w:fldChar w:fldCharType="begin" w:fldLock="1"/>
      </w:r>
      <w:r w:rsidR="00913BB1" w:rsidRPr="00685F41">
        <w:rPr>
          <w:rFonts w:ascii="Times New Roman" w:hAnsi="Times New Roman" w:cs="Times New Roman"/>
          <w:sz w:val="24"/>
        </w:rPr>
        <w:instrText xml:space="preserve">ADDIN Mendeley Bibliography CSL_BIBLIOGRAPHY </w:instrText>
      </w:r>
      <w:r w:rsidRPr="00685F41">
        <w:rPr>
          <w:rFonts w:ascii="Times New Roman" w:hAnsi="Times New Roman" w:cs="Times New Roman"/>
          <w:sz w:val="24"/>
        </w:rPr>
        <w:fldChar w:fldCharType="separate"/>
      </w:r>
      <w:r w:rsidR="00913BB1" w:rsidRPr="00685F41">
        <w:rPr>
          <w:rFonts w:ascii="Times New Roman" w:hAnsi="Times New Roman" w:cs="Times New Roman"/>
          <w:noProof/>
          <w:sz w:val="24"/>
          <w:szCs w:val="24"/>
        </w:rPr>
        <w:t>1.</w:t>
      </w:r>
      <w:r w:rsidR="00913BB1" w:rsidRPr="00685F41">
        <w:rPr>
          <w:rFonts w:ascii="Times New Roman" w:hAnsi="Times New Roman" w:cs="Times New Roman"/>
          <w:noProof/>
          <w:sz w:val="24"/>
          <w:szCs w:val="24"/>
        </w:rPr>
        <w:tab/>
        <w:t xml:space="preserve">Borse, S. P. &amp; Kamble, B. B. Effects of Ayurvedic Rasayana botanicals on CYP3A4 isoenzyme system. </w:t>
      </w:r>
      <w:r w:rsidR="00913BB1" w:rsidRPr="00685F41">
        <w:rPr>
          <w:rFonts w:ascii="Times New Roman" w:hAnsi="Times New Roman" w:cs="Times New Roman"/>
          <w:i/>
          <w:iCs/>
          <w:noProof/>
          <w:sz w:val="24"/>
          <w:szCs w:val="24"/>
        </w:rPr>
        <w:t>J. Integr. Med.</w:t>
      </w:r>
      <w:r w:rsidR="00913BB1" w:rsidRPr="00685F41">
        <w:rPr>
          <w:rFonts w:ascii="Times New Roman" w:hAnsi="Times New Roman" w:cs="Times New Roman"/>
          <w:b/>
          <w:bCs/>
          <w:noProof/>
          <w:sz w:val="24"/>
          <w:szCs w:val="24"/>
        </w:rPr>
        <w:t>13</w:t>
      </w:r>
      <w:r w:rsidR="00913BB1" w:rsidRPr="00685F41">
        <w:rPr>
          <w:rFonts w:ascii="Times New Roman" w:hAnsi="Times New Roman" w:cs="Times New Roman"/>
          <w:noProof/>
          <w:sz w:val="24"/>
          <w:szCs w:val="24"/>
        </w:rPr>
        <w:t>, 165–172 (2015).</w:t>
      </w:r>
    </w:p>
    <w:p w:rsidR="00913BB1" w:rsidRPr="00685F41" w:rsidRDefault="00913BB1" w:rsidP="00685F41">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685F41">
        <w:rPr>
          <w:rFonts w:ascii="Times New Roman" w:hAnsi="Times New Roman" w:cs="Times New Roman"/>
          <w:noProof/>
          <w:sz w:val="24"/>
          <w:szCs w:val="24"/>
        </w:rPr>
        <w:t>2.</w:t>
      </w:r>
      <w:r w:rsidRPr="00685F41">
        <w:rPr>
          <w:rFonts w:ascii="Times New Roman" w:hAnsi="Times New Roman" w:cs="Times New Roman"/>
          <w:noProof/>
          <w:sz w:val="24"/>
          <w:szCs w:val="24"/>
        </w:rPr>
        <w:tab/>
        <w:t xml:space="preserve">Patil, D., Gautam, M., Gairola, S., Jadhav, S. &amp; Patwardhan, B. Effect of botanical immunomodulators on human CYP3A4 inhibition: Implications for concurrent use as adjuvants in cancer therapy. </w:t>
      </w:r>
      <w:r w:rsidRPr="00685F41">
        <w:rPr>
          <w:rFonts w:ascii="Times New Roman" w:hAnsi="Times New Roman" w:cs="Times New Roman"/>
          <w:i/>
          <w:iCs/>
          <w:noProof/>
          <w:sz w:val="24"/>
          <w:szCs w:val="24"/>
        </w:rPr>
        <w:t>Integr. Cancer Ther.</w:t>
      </w:r>
      <w:r w:rsidRPr="00685F41">
        <w:rPr>
          <w:rFonts w:ascii="Times New Roman" w:hAnsi="Times New Roman" w:cs="Times New Roman"/>
          <w:b/>
          <w:bCs/>
          <w:noProof/>
          <w:sz w:val="24"/>
          <w:szCs w:val="24"/>
        </w:rPr>
        <w:t>13</w:t>
      </w:r>
      <w:r w:rsidRPr="00685F41">
        <w:rPr>
          <w:rFonts w:ascii="Times New Roman" w:hAnsi="Times New Roman" w:cs="Times New Roman"/>
          <w:noProof/>
          <w:sz w:val="24"/>
          <w:szCs w:val="24"/>
        </w:rPr>
        <w:t>, 167–175 (2014).</w:t>
      </w:r>
    </w:p>
    <w:p w:rsidR="00913BB1" w:rsidRPr="00685F41" w:rsidRDefault="00913BB1" w:rsidP="00685F41">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685F41">
        <w:rPr>
          <w:rFonts w:ascii="Times New Roman" w:hAnsi="Times New Roman" w:cs="Times New Roman"/>
          <w:noProof/>
          <w:sz w:val="24"/>
          <w:szCs w:val="24"/>
        </w:rPr>
        <w:t>3.</w:t>
      </w:r>
      <w:r w:rsidRPr="00685F41">
        <w:rPr>
          <w:rFonts w:ascii="Times New Roman" w:hAnsi="Times New Roman" w:cs="Times New Roman"/>
          <w:noProof/>
          <w:sz w:val="24"/>
          <w:szCs w:val="24"/>
        </w:rPr>
        <w:tab/>
        <w:t xml:space="preserve">Bahadur, S. </w:t>
      </w:r>
      <w:r w:rsidRPr="00685F41">
        <w:rPr>
          <w:rFonts w:ascii="Times New Roman" w:hAnsi="Times New Roman" w:cs="Times New Roman"/>
          <w:i/>
          <w:iCs/>
          <w:noProof/>
          <w:sz w:val="24"/>
          <w:szCs w:val="24"/>
        </w:rPr>
        <w:t>et al.</w:t>
      </w:r>
      <w:r w:rsidRPr="00685F41">
        <w:rPr>
          <w:rFonts w:ascii="Times New Roman" w:hAnsi="Times New Roman" w:cs="Times New Roman"/>
          <w:noProof/>
          <w:sz w:val="24"/>
          <w:szCs w:val="24"/>
        </w:rPr>
        <w:t xml:space="preserve"> Metabolism-mediated interaction potential of standardized extract of Tinospora cordifolia through rat and human liver microsomes. </w:t>
      </w:r>
      <w:r w:rsidRPr="00685F41">
        <w:rPr>
          <w:rFonts w:ascii="Times New Roman" w:hAnsi="Times New Roman" w:cs="Times New Roman"/>
          <w:i/>
          <w:iCs/>
          <w:noProof/>
          <w:sz w:val="24"/>
          <w:szCs w:val="24"/>
        </w:rPr>
        <w:t>Indian J. Pharmacol.</w:t>
      </w:r>
      <w:r w:rsidRPr="00685F41">
        <w:rPr>
          <w:rFonts w:ascii="Times New Roman" w:hAnsi="Times New Roman" w:cs="Times New Roman"/>
          <w:b/>
          <w:bCs/>
          <w:noProof/>
          <w:sz w:val="24"/>
          <w:szCs w:val="24"/>
        </w:rPr>
        <w:t>48</w:t>
      </w:r>
      <w:r w:rsidRPr="00685F41">
        <w:rPr>
          <w:rFonts w:ascii="Times New Roman" w:hAnsi="Times New Roman" w:cs="Times New Roman"/>
          <w:noProof/>
          <w:sz w:val="24"/>
          <w:szCs w:val="24"/>
        </w:rPr>
        <w:t>, 576–581 (2016).</w:t>
      </w:r>
    </w:p>
    <w:p w:rsidR="00913BB1" w:rsidRPr="00685F41" w:rsidRDefault="00913BB1" w:rsidP="00685F41">
      <w:pPr>
        <w:widowControl w:val="0"/>
        <w:autoSpaceDE w:val="0"/>
        <w:autoSpaceDN w:val="0"/>
        <w:adjustRightInd w:val="0"/>
        <w:spacing w:line="240" w:lineRule="auto"/>
        <w:ind w:left="640" w:hanging="640"/>
        <w:jc w:val="both"/>
        <w:rPr>
          <w:rFonts w:ascii="Times New Roman" w:hAnsi="Times New Roman" w:cs="Times New Roman"/>
          <w:noProof/>
          <w:sz w:val="24"/>
          <w:szCs w:val="24"/>
        </w:rPr>
      </w:pPr>
      <w:r w:rsidRPr="00685F41">
        <w:rPr>
          <w:rFonts w:ascii="Times New Roman" w:hAnsi="Times New Roman" w:cs="Times New Roman"/>
          <w:noProof/>
          <w:sz w:val="24"/>
          <w:szCs w:val="24"/>
        </w:rPr>
        <w:t>4.</w:t>
      </w:r>
      <w:r w:rsidRPr="00685F41">
        <w:rPr>
          <w:rFonts w:ascii="Times New Roman" w:hAnsi="Times New Roman" w:cs="Times New Roman"/>
          <w:noProof/>
          <w:sz w:val="24"/>
          <w:szCs w:val="24"/>
        </w:rPr>
        <w:tab/>
        <w:t xml:space="preserve">Savai, J., Varghese, A., Pandita, N. &amp; Chintamaneni, M. Investigation of CYP3A4 and CYP2D6 interactions of withania somnifera and centella asiatica in human liver microsomes. </w:t>
      </w:r>
      <w:r w:rsidRPr="00685F41">
        <w:rPr>
          <w:rFonts w:ascii="Times New Roman" w:hAnsi="Times New Roman" w:cs="Times New Roman"/>
          <w:i/>
          <w:iCs/>
          <w:noProof/>
          <w:sz w:val="24"/>
          <w:szCs w:val="24"/>
        </w:rPr>
        <w:t>Phyther. Res.</w:t>
      </w:r>
      <w:r w:rsidRPr="00685F41">
        <w:rPr>
          <w:rFonts w:ascii="Times New Roman" w:hAnsi="Times New Roman" w:cs="Times New Roman"/>
          <w:b/>
          <w:bCs/>
          <w:noProof/>
          <w:sz w:val="24"/>
          <w:szCs w:val="24"/>
        </w:rPr>
        <w:t>29</w:t>
      </w:r>
      <w:r w:rsidRPr="00685F41">
        <w:rPr>
          <w:rFonts w:ascii="Times New Roman" w:hAnsi="Times New Roman" w:cs="Times New Roman"/>
          <w:noProof/>
          <w:sz w:val="24"/>
          <w:szCs w:val="24"/>
        </w:rPr>
        <w:t>, 785–790 (2015).</w:t>
      </w:r>
    </w:p>
    <w:p w:rsidR="00913BB1" w:rsidRPr="00685F41" w:rsidRDefault="00913BB1" w:rsidP="00685F41">
      <w:pPr>
        <w:widowControl w:val="0"/>
        <w:autoSpaceDE w:val="0"/>
        <w:autoSpaceDN w:val="0"/>
        <w:adjustRightInd w:val="0"/>
        <w:spacing w:line="240" w:lineRule="auto"/>
        <w:ind w:left="640" w:hanging="640"/>
        <w:jc w:val="both"/>
        <w:rPr>
          <w:rFonts w:ascii="Times New Roman" w:hAnsi="Times New Roman" w:cs="Times New Roman"/>
          <w:noProof/>
          <w:sz w:val="24"/>
        </w:rPr>
      </w:pPr>
      <w:r w:rsidRPr="00685F41">
        <w:rPr>
          <w:rFonts w:ascii="Times New Roman" w:hAnsi="Times New Roman" w:cs="Times New Roman"/>
          <w:noProof/>
          <w:sz w:val="24"/>
          <w:szCs w:val="24"/>
        </w:rPr>
        <w:t>5.</w:t>
      </w:r>
      <w:r w:rsidRPr="00685F41">
        <w:rPr>
          <w:rFonts w:ascii="Times New Roman" w:hAnsi="Times New Roman" w:cs="Times New Roman"/>
          <w:noProof/>
          <w:sz w:val="24"/>
          <w:szCs w:val="24"/>
        </w:rPr>
        <w:tab/>
        <w:t xml:space="preserve">Savai, J., Varghese, A., Pandita, N. &amp; Chintamaneni, M. In vitro assessment of CYP1A2 and 2C9 inhibition potential of Withania somnifera and Centella asiatica in human liver microsomes. </w:t>
      </w:r>
      <w:r w:rsidRPr="00685F41">
        <w:rPr>
          <w:rFonts w:ascii="Times New Roman" w:hAnsi="Times New Roman" w:cs="Times New Roman"/>
          <w:i/>
          <w:iCs/>
          <w:noProof/>
          <w:sz w:val="24"/>
          <w:szCs w:val="24"/>
        </w:rPr>
        <w:t>Drug Metab. Pers. Ther.</w:t>
      </w:r>
      <w:r w:rsidRPr="00685F41">
        <w:rPr>
          <w:rFonts w:ascii="Times New Roman" w:hAnsi="Times New Roman" w:cs="Times New Roman"/>
          <w:b/>
          <w:bCs/>
          <w:noProof/>
          <w:sz w:val="24"/>
          <w:szCs w:val="24"/>
        </w:rPr>
        <w:t>30</w:t>
      </w:r>
      <w:r w:rsidRPr="00685F41">
        <w:rPr>
          <w:rFonts w:ascii="Times New Roman" w:hAnsi="Times New Roman" w:cs="Times New Roman"/>
          <w:noProof/>
          <w:sz w:val="24"/>
          <w:szCs w:val="24"/>
        </w:rPr>
        <w:t>, 137–141 (2015).</w:t>
      </w:r>
    </w:p>
    <w:p w:rsidR="006001D4" w:rsidRPr="00685F41" w:rsidRDefault="00FC1752" w:rsidP="00685F41">
      <w:pPr>
        <w:jc w:val="both"/>
        <w:rPr>
          <w:rFonts w:ascii="Times New Roman" w:hAnsi="Times New Roman" w:cs="Times New Roman"/>
          <w:sz w:val="24"/>
        </w:rPr>
      </w:pPr>
      <w:r w:rsidRPr="00685F41">
        <w:rPr>
          <w:rFonts w:ascii="Times New Roman" w:hAnsi="Times New Roman" w:cs="Times New Roman"/>
          <w:sz w:val="24"/>
        </w:rPr>
        <w:fldChar w:fldCharType="end"/>
      </w:r>
    </w:p>
    <w:sectPr w:rsidR="006001D4" w:rsidRPr="00685F41" w:rsidSect="008E4BCE">
      <w:pgSz w:w="12240" w:h="15840"/>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642720"/>
    <w:rsid w:val="002D04AC"/>
    <w:rsid w:val="00361E70"/>
    <w:rsid w:val="005D7A42"/>
    <w:rsid w:val="006001D4"/>
    <w:rsid w:val="00642720"/>
    <w:rsid w:val="00685F41"/>
    <w:rsid w:val="0075061F"/>
    <w:rsid w:val="008E4BCE"/>
    <w:rsid w:val="00913BB1"/>
    <w:rsid w:val="00E23802"/>
    <w:rsid w:val="00E310F1"/>
    <w:rsid w:val="00FC175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E4BC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42720"/>
    <w:pPr>
      <w:spacing w:after="0" w:line="240" w:lineRule="auto"/>
    </w:pPr>
    <w:rPr>
      <w:rFonts w:eastAsia="Calibri"/>
      <w:szCs w:val="20"/>
      <w:lang w:val="en-IN" w:bidi="mr-I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mailto:bpatwardhan@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32A3F27D-5F49-4568-8C5D-42F622C6B3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2931</Words>
  <Characters>16709</Characters>
  <Application>Microsoft Office Word</Application>
  <DocSecurity>0</DocSecurity>
  <Lines>139</Lines>
  <Paragraphs>39</Paragraphs>
  <ScaleCrop>false</ScaleCrop>
  <Company>HP</Company>
  <LinksUpToDate>false</LinksUpToDate>
  <CharactersWithSpaces>19601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Swapnil</dc:creator>
  <cp:keywords/>
  <dc:description/>
  <cp:lastModifiedBy>Swapnil</cp:lastModifiedBy>
  <cp:revision>9</cp:revision>
  <dcterms:created xsi:type="dcterms:W3CDTF">2020-05-02T11:32:00Z</dcterms:created>
  <dcterms:modified xsi:type="dcterms:W3CDTF">2020-05-15T05:53:00Z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http://www.zotero.org/styles/journal-of-ethnopharmacology</vt:lpwstr>
  </property>
  <property fmtid="{D5CDD505-2E9C-101B-9397-08002B2CF9AE}" pid="13" name="Mendeley Recent Style Name 5_1">
    <vt:lpwstr>Journal of Ethnopharmacology</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http://www.zotero.org/styles/vancouver</vt:lpwstr>
  </property>
  <property fmtid="{D5CDD505-2E9C-101B-9397-08002B2CF9AE}" pid="21" name="Mendeley Recent Style Name 9_1">
    <vt:lpwstr>Vancouver</vt:lpwstr>
  </property>
  <property fmtid="{D5CDD505-2E9C-101B-9397-08002B2CF9AE}" pid="22" name="Mendeley Document_1">
    <vt:lpwstr>True</vt:lpwstr>
  </property>
  <property fmtid="{D5CDD505-2E9C-101B-9397-08002B2CF9AE}" pid="23" name="Mendeley Citation Style_1">
    <vt:lpwstr>http://www.zotero.org/styles/nature</vt:lpwstr>
  </property>
  <property fmtid="{D5CDD505-2E9C-101B-9397-08002B2CF9AE}" pid="24" name="Mendeley Unique User Id_1">
    <vt:lpwstr>b89d4cc2-4649-3a96-90f0-e1ee67a097bd</vt:lpwstr>
  </property>
</Properties>
</file>