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FF7" w:rsidRPr="003B0719" w:rsidRDefault="00042F45">
      <w:pPr>
        <w:rPr>
          <w:rFonts w:asciiTheme="minorBidi" w:hAnsiTheme="minorBidi"/>
          <w:b/>
          <w:bCs/>
          <w:sz w:val="20"/>
          <w:szCs w:val="20"/>
          <w:lang w:val="en-US"/>
        </w:rPr>
      </w:pPr>
      <w:r w:rsidRPr="003B0719">
        <w:rPr>
          <w:rFonts w:asciiTheme="minorBidi" w:hAnsiTheme="minorBidi"/>
          <w:b/>
          <w:bCs/>
          <w:sz w:val="20"/>
          <w:szCs w:val="20"/>
          <w:lang w:val="en-US"/>
        </w:rPr>
        <w:t>S2 Table. The impact of COVID-19 pass in each study.</w:t>
      </w:r>
    </w:p>
    <w:tbl>
      <w:tblPr>
        <w:tblStyle w:val="TableGrid"/>
        <w:tblW w:w="9175" w:type="dxa"/>
        <w:tblInd w:w="-113" w:type="dxa"/>
        <w:tblLook w:val="04A0" w:firstRow="1" w:lastRow="0" w:firstColumn="1" w:lastColumn="0" w:noHBand="0" w:noVBand="1"/>
      </w:tblPr>
      <w:tblGrid>
        <w:gridCol w:w="1631"/>
        <w:gridCol w:w="1807"/>
        <w:gridCol w:w="1706"/>
        <w:gridCol w:w="2457"/>
        <w:gridCol w:w="1574"/>
      </w:tblGrid>
      <w:tr w:rsidR="007C0FF6" w:rsidRPr="001B32F4" w:rsidTr="00952736">
        <w:tc>
          <w:tcPr>
            <w:tcW w:w="1602" w:type="dxa"/>
            <w:vMerge w:val="restart"/>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Study</w:t>
            </w:r>
          </w:p>
        </w:tc>
        <w:tc>
          <w:tcPr>
            <w:tcW w:w="3450" w:type="dxa"/>
            <w:gridSpan w:val="2"/>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Direct effect</w:t>
            </w:r>
          </w:p>
        </w:tc>
        <w:tc>
          <w:tcPr>
            <w:tcW w:w="4123" w:type="dxa"/>
            <w:gridSpan w:val="2"/>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Indirect effect</w:t>
            </w:r>
          </w:p>
        </w:tc>
      </w:tr>
      <w:tr w:rsidR="007058B7" w:rsidRPr="001B32F4" w:rsidTr="00952736">
        <w:tc>
          <w:tcPr>
            <w:tcW w:w="1602" w:type="dxa"/>
            <w:vMerge/>
          </w:tcPr>
          <w:p w:rsidR="00042F45" w:rsidRPr="001B32F4" w:rsidRDefault="00042F45" w:rsidP="001B32F4">
            <w:pPr>
              <w:jc w:val="center"/>
              <w:rPr>
                <w:rFonts w:asciiTheme="minorBidi" w:hAnsiTheme="minorBidi"/>
                <w:b/>
                <w:bCs/>
                <w:sz w:val="20"/>
                <w:szCs w:val="20"/>
                <w:lang w:val="en-US"/>
              </w:rPr>
            </w:pPr>
          </w:p>
        </w:tc>
        <w:tc>
          <w:tcPr>
            <w:tcW w:w="1775" w:type="dxa"/>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w:t>
            </w:r>
          </w:p>
        </w:tc>
        <w:tc>
          <w:tcPr>
            <w:tcW w:w="1675" w:type="dxa"/>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w:t>
            </w:r>
          </w:p>
        </w:tc>
        <w:tc>
          <w:tcPr>
            <w:tcW w:w="2577" w:type="dxa"/>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w:t>
            </w:r>
          </w:p>
        </w:tc>
        <w:tc>
          <w:tcPr>
            <w:tcW w:w="1546" w:type="dxa"/>
          </w:tcPr>
          <w:p w:rsidR="00042F45" w:rsidRPr="001B32F4" w:rsidRDefault="00042F45" w:rsidP="001B32F4">
            <w:pPr>
              <w:jc w:val="center"/>
              <w:rPr>
                <w:rFonts w:asciiTheme="minorBidi" w:hAnsiTheme="minorBidi"/>
                <w:b/>
                <w:bCs/>
                <w:sz w:val="20"/>
                <w:szCs w:val="20"/>
                <w:lang w:val="en-US"/>
              </w:rPr>
            </w:pPr>
            <w:r w:rsidRPr="001B32F4">
              <w:rPr>
                <w:rFonts w:asciiTheme="minorBidi" w:hAnsiTheme="minorBidi"/>
                <w:b/>
                <w:bCs/>
                <w:sz w:val="20"/>
                <w:szCs w:val="20"/>
                <w:lang w:val="en-US"/>
              </w:rPr>
              <w:t>-</w:t>
            </w:r>
          </w:p>
        </w:tc>
      </w:tr>
      <w:tr w:rsidR="007058B7" w:rsidRPr="001B32F4" w:rsidTr="00952736">
        <w:tc>
          <w:tcPr>
            <w:tcW w:w="1602" w:type="dxa"/>
          </w:tcPr>
          <w:p w:rsidR="00042F45" w:rsidRPr="001B32F4" w:rsidRDefault="00042F45" w:rsidP="001B32F4">
            <w:pPr>
              <w:rPr>
                <w:rFonts w:asciiTheme="minorBidi" w:hAnsiTheme="minorBidi"/>
                <w:sz w:val="20"/>
                <w:szCs w:val="20"/>
                <w:lang w:val="en-US"/>
              </w:rPr>
            </w:pPr>
            <w:proofErr w:type="spellStart"/>
            <w:r w:rsidRPr="001B32F4">
              <w:rPr>
                <w:rFonts w:asciiTheme="minorBidi" w:hAnsiTheme="minorBidi"/>
                <w:sz w:val="20"/>
                <w:szCs w:val="20"/>
                <w:lang w:val="en-US"/>
              </w:rPr>
              <w:t>Albarracin</w:t>
            </w:r>
            <w:proofErr w:type="spellEnd"/>
            <w:r w:rsidRPr="001B32F4">
              <w:rPr>
                <w:rFonts w:asciiTheme="minorBidi" w:hAnsiTheme="minorBidi"/>
                <w:sz w:val="20"/>
                <w:szCs w:val="20"/>
                <w:lang w:val="en-US"/>
              </w:rPr>
              <w:t xml:space="preserve"> et al.</w:t>
            </w:r>
            <w:r w:rsidR="00BC446A" w:rsidRPr="001B32F4">
              <w:rPr>
                <w:rFonts w:asciiTheme="minorBidi" w:hAnsiTheme="minorBidi"/>
                <w:sz w:val="20"/>
                <w:szCs w:val="20"/>
                <w:lang w:val="en-US"/>
              </w:rPr>
              <w:t xml:space="preserve"> (2021)</w:t>
            </w:r>
          </w:p>
        </w:tc>
        <w:tc>
          <w:tcPr>
            <w:tcW w:w="1775" w:type="dxa"/>
          </w:tcPr>
          <w:p w:rsidR="00042F45" w:rsidRPr="001B32F4" w:rsidRDefault="00042F45" w:rsidP="001B32F4">
            <w:pPr>
              <w:rPr>
                <w:rFonts w:asciiTheme="minorBidi" w:hAnsiTheme="minorBidi"/>
                <w:sz w:val="20"/>
                <w:szCs w:val="20"/>
                <w:lang w:val="en-US"/>
              </w:rPr>
            </w:pPr>
          </w:p>
        </w:tc>
        <w:tc>
          <w:tcPr>
            <w:tcW w:w="1675" w:type="dxa"/>
          </w:tcPr>
          <w:p w:rsidR="00042F45" w:rsidRPr="001B32F4" w:rsidRDefault="00042F45" w:rsidP="001B32F4">
            <w:pPr>
              <w:rPr>
                <w:rFonts w:asciiTheme="minorBidi" w:hAnsiTheme="minorBidi"/>
                <w:sz w:val="20"/>
                <w:szCs w:val="20"/>
                <w:lang w:val="en-US"/>
              </w:rPr>
            </w:pPr>
          </w:p>
        </w:tc>
        <w:tc>
          <w:tcPr>
            <w:tcW w:w="2577" w:type="dxa"/>
          </w:tcPr>
          <w:p w:rsidR="00042F45" w:rsidRPr="001B32F4" w:rsidRDefault="00C07E28" w:rsidP="001B32F4">
            <w:pPr>
              <w:pStyle w:val="ListParagraph"/>
              <w:numPr>
                <w:ilvl w:val="0"/>
                <w:numId w:val="2"/>
              </w:numPr>
              <w:ind w:left="359" w:hanging="290"/>
              <w:rPr>
                <w:rFonts w:asciiTheme="minorBidi" w:hAnsiTheme="minorBidi"/>
                <w:sz w:val="20"/>
                <w:szCs w:val="20"/>
                <w:lang w:val="en-US"/>
              </w:rPr>
            </w:pPr>
            <w:r w:rsidRPr="001B32F4">
              <w:rPr>
                <w:rFonts w:asciiTheme="minorBidi" w:hAnsiTheme="minorBidi"/>
                <w:sz w:val="20"/>
                <w:szCs w:val="20"/>
                <w:lang w:val="en-US"/>
              </w:rPr>
              <w:t>Participants were more willing to vaccinate in response to the required question (“Will you get the COVID-19 vaccine if it is required to work, travel, or go to school?”) than the control question (“If you could get the COVID-19 vaccine for free today, would you want to be vaccinated today?”).</w:t>
            </w:r>
          </w:p>
          <w:p w:rsidR="00C07E28" w:rsidRPr="001B32F4" w:rsidRDefault="00C07E28" w:rsidP="001B32F4">
            <w:pPr>
              <w:pStyle w:val="ListParagraph"/>
              <w:numPr>
                <w:ilvl w:val="0"/>
                <w:numId w:val="2"/>
              </w:numPr>
              <w:ind w:left="359" w:hanging="290"/>
              <w:rPr>
                <w:rFonts w:asciiTheme="minorBidi" w:hAnsiTheme="minorBidi"/>
                <w:sz w:val="20"/>
                <w:szCs w:val="20"/>
                <w:shd w:val="clear" w:color="auto" w:fill="FFFFFF"/>
              </w:rPr>
            </w:pPr>
            <w:r w:rsidRPr="001B32F4">
              <w:rPr>
                <w:rFonts w:asciiTheme="minorBidi" w:hAnsiTheme="minorBidi"/>
                <w:sz w:val="20"/>
                <w:szCs w:val="20"/>
                <w:shd w:val="clear" w:color="auto" w:fill="FFFFFF"/>
              </w:rPr>
              <w:t>Intentions were significantly stronger in the required</w:t>
            </w:r>
            <w:r w:rsidR="004644F6" w:rsidRPr="001B32F4">
              <w:rPr>
                <w:rFonts w:asciiTheme="minorBidi" w:hAnsiTheme="minorBidi"/>
                <w:sz w:val="20"/>
                <w:szCs w:val="20"/>
                <w:shd w:val="clear" w:color="auto" w:fill="FFFFFF"/>
              </w:rPr>
              <w:t xml:space="preserve"> </w:t>
            </w:r>
            <w:r w:rsidRPr="001B32F4">
              <w:rPr>
                <w:rFonts w:asciiTheme="minorBidi" w:hAnsiTheme="minorBidi"/>
                <w:sz w:val="20"/>
                <w:szCs w:val="20"/>
                <w:shd w:val="clear" w:color="auto" w:fill="FFFFFF"/>
              </w:rPr>
              <w:t>vaccination condition than the</w:t>
            </w:r>
            <w:r w:rsidRPr="001B32F4">
              <w:rPr>
                <w:rFonts w:asciiTheme="minorBidi" w:hAnsiTheme="minorBidi"/>
                <w:sz w:val="20"/>
                <w:szCs w:val="20"/>
              </w:rPr>
              <w:br/>
            </w:r>
            <w:r w:rsidRPr="001B32F4">
              <w:rPr>
                <w:rFonts w:asciiTheme="minorBidi" w:hAnsiTheme="minorBidi"/>
                <w:sz w:val="20"/>
                <w:szCs w:val="20"/>
                <w:shd w:val="clear" w:color="auto" w:fill="FFFFFF"/>
              </w:rPr>
              <w:t>freedom condition</w:t>
            </w:r>
            <w:r w:rsidRPr="001B32F4">
              <w:rPr>
                <w:rFonts w:asciiTheme="minorBidi" w:hAnsiTheme="minorBidi"/>
                <w:sz w:val="20"/>
                <w:szCs w:val="20"/>
              </w:rPr>
              <w:br/>
            </w:r>
            <w:r w:rsidRPr="001B32F4">
              <w:rPr>
                <w:rFonts w:asciiTheme="minorBidi" w:hAnsiTheme="minorBidi"/>
                <w:sz w:val="20"/>
                <w:szCs w:val="20"/>
                <w:shd w:val="clear" w:color="auto" w:fill="FFFFFF"/>
              </w:rPr>
              <w:t>(</w:t>
            </w:r>
            <w:proofErr w:type="spellStart"/>
            <w:r w:rsidRPr="001B32F4">
              <w:rPr>
                <w:rFonts w:asciiTheme="minorBidi" w:hAnsiTheme="minorBidi"/>
                <w:sz w:val="20"/>
                <w:szCs w:val="20"/>
                <w:shd w:val="clear" w:color="auto" w:fill="FFFFFF"/>
              </w:rPr>
              <w:t>M</w:t>
            </w:r>
            <w:r w:rsidRPr="001B32F4">
              <w:rPr>
                <w:rFonts w:asciiTheme="minorBidi" w:hAnsiTheme="minorBidi"/>
                <w:sz w:val="20"/>
                <w:szCs w:val="20"/>
                <w:shd w:val="clear" w:color="auto" w:fill="FFFFFF"/>
                <w:vertAlign w:val="subscript"/>
              </w:rPr>
              <w:t>diff</w:t>
            </w:r>
            <w:proofErr w:type="spellEnd"/>
            <w:r w:rsidRPr="001B32F4">
              <w:rPr>
                <w:rFonts w:asciiTheme="minorBidi" w:hAnsiTheme="minorBidi"/>
                <w:sz w:val="20"/>
                <w:szCs w:val="20"/>
                <w:shd w:val="clear" w:color="auto" w:fill="FFFFFF"/>
                <w:vertAlign w:val="subscript"/>
              </w:rPr>
              <w:t xml:space="preserve"> </w:t>
            </w:r>
            <w:r w:rsidRPr="001B32F4">
              <w:rPr>
                <w:rFonts w:asciiTheme="minorBidi" w:hAnsiTheme="minorBidi"/>
                <w:sz w:val="20"/>
                <w:szCs w:val="20"/>
                <w:shd w:val="clear" w:color="auto" w:fill="FFFFFF"/>
              </w:rPr>
              <w:t xml:space="preserve">= 0.18, </w:t>
            </w:r>
            <w:proofErr w:type="spellStart"/>
            <w:r w:rsidRPr="001B32F4">
              <w:rPr>
                <w:rFonts w:asciiTheme="minorBidi" w:hAnsiTheme="minorBidi"/>
                <w:sz w:val="20"/>
                <w:szCs w:val="20"/>
                <w:shd w:val="clear" w:color="auto" w:fill="FFFFFF"/>
              </w:rPr>
              <w:t>SD</w:t>
            </w:r>
            <w:r w:rsidRPr="001B32F4">
              <w:rPr>
                <w:rFonts w:asciiTheme="minorBidi" w:hAnsiTheme="minorBidi"/>
                <w:sz w:val="20"/>
                <w:szCs w:val="20"/>
                <w:shd w:val="clear" w:color="auto" w:fill="FFFFFF"/>
                <w:vertAlign w:val="subscript"/>
              </w:rPr>
              <w:t>diff</w:t>
            </w:r>
            <w:proofErr w:type="spellEnd"/>
            <w:r w:rsidRPr="001B32F4">
              <w:rPr>
                <w:rFonts w:asciiTheme="minorBidi" w:hAnsiTheme="minorBidi"/>
                <w:sz w:val="20"/>
                <w:szCs w:val="20"/>
                <w:shd w:val="clear" w:color="auto" w:fill="FFFFFF"/>
              </w:rPr>
              <w:t xml:space="preserve"> = 0.05, 95% CI [0.06, 0.29]) or the control</w:t>
            </w:r>
            <w:r w:rsidRPr="001B32F4">
              <w:rPr>
                <w:rFonts w:asciiTheme="minorBidi" w:hAnsiTheme="minorBidi"/>
                <w:sz w:val="20"/>
                <w:szCs w:val="20"/>
              </w:rPr>
              <w:br/>
            </w:r>
            <w:r w:rsidRPr="001B32F4">
              <w:rPr>
                <w:rFonts w:asciiTheme="minorBidi" w:hAnsiTheme="minorBidi"/>
                <w:sz w:val="20"/>
                <w:szCs w:val="20"/>
                <w:shd w:val="clear" w:color="auto" w:fill="FFFFFF"/>
              </w:rPr>
              <w:t>for choice freedom condition (</w:t>
            </w:r>
            <w:proofErr w:type="spellStart"/>
            <w:r w:rsidRPr="001B32F4">
              <w:rPr>
                <w:rFonts w:asciiTheme="minorBidi" w:hAnsiTheme="minorBidi"/>
                <w:sz w:val="20"/>
                <w:szCs w:val="20"/>
                <w:shd w:val="clear" w:color="auto" w:fill="FFFFFF"/>
              </w:rPr>
              <w:t>M</w:t>
            </w:r>
            <w:r w:rsidRPr="001B32F4">
              <w:rPr>
                <w:rFonts w:asciiTheme="minorBidi" w:hAnsiTheme="minorBidi"/>
                <w:sz w:val="20"/>
                <w:szCs w:val="20"/>
                <w:shd w:val="clear" w:color="auto" w:fill="FFFFFF"/>
                <w:vertAlign w:val="subscript"/>
              </w:rPr>
              <w:t>diff</w:t>
            </w:r>
            <w:proofErr w:type="spellEnd"/>
            <w:r w:rsidRPr="001B32F4">
              <w:rPr>
                <w:rFonts w:asciiTheme="minorBidi" w:hAnsiTheme="minorBidi"/>
                <w:sz w:val="20"/>
                <w:szCs w:val="20"/>
                <w:shd w:val="clear" w:color="auto" w:fill="FFFFFF"/>
              </w:rPr>
              <w:t xml:space="preserve"> = 0.13, </w:t>
            </w:r>
            <w:proofErr w:type="spellStart"/>
            <w:r w:rsidRPr="001B32F4">
              <w:rPr>
                <w:rFonts w:asciiTheme="minorBidi" w:hAnsiTheme="minorBidi"/>
                <w:sz w:val="20"/>
                <w:szCs w:val="20"/>
                <w:shd w:val="clear" w:color="auto" w:fill="FFFFFF"/>
              </w:rPr>
              <w:t>SD</w:t>
            </w:r>
            <w:r w:rsidRPr="001B32F4">
              <w:rPr>
                <w:rFonts w:asciiTheme="minorBidi" w:hAnsiTheme="minorBidi"/>
                <w:sz w:val="20"/>
                <w:szCs w:val="20"/>
                <w:shd w:val="clear" w:color="auto" w:fill="FFFFFF"/>
                <w:vertAlign w:val="subscript"/>
              </w:rPr>
              <w:t>diff</w:t>
            </w:r>
            <w:proofErr w:type="spellEnd"/>
            <w:r w:rsidRPr="001B32F4">
              <w:rPr>
                <w:rFonts w:asciiTheme="minorBidi" w:hAnsiTheme="minorBidi"/>
                <w:sz w:val="20"/>
                <w:szCs w:val="20"/>
                <w:shd w:val="clear" w:color="auto" w:fill="FFFFFF"/>
              </w:rPr>
              <w:t xml:space="preserve"> = 0.05,</w:t>
            </w:r>
            <w:r w:rsidRPr="001B32F4">
              <w:rPr>
                <w:rFonts w:asciiTheme="minorBidi" w:hAnsiTheme="minorBidi"/>
                <w:sz w:val="20"/>
                <w:szCs w:val="20"/>
              </w:rPr>
              <w:br/>
            </w:r>
            <w:r w:rsidRPr="001B32F4">
              <w:rPr>
                <w:rFonts w:asciiTheme="minorBidi" w:hAnsiTheme="minorBidi"/>
                <w:sz w:val="20"/>
                <w:szCs w:val="20"/>
                <w:shd w:val="clear" w:color="auto" w:fill="FFFFFF"/>
              </w:rPr>
              <w:t>95% CI [0.01, 0.24].</w:t>
            </w:r>
          </w:p>
          <w:p w:rsidR="00C07E28" w:rsidRPr="001B32F4" w:rsidRDefault="00C07E28" w:rsidP="001B32F4">
            <w:pPr>
              <w:pStyle w:val="ListParagraph"/>
              <w:numPr>
                <w:ilvl w:val="0"/>
                <w:numId w:val="2"/>
              </w:numPr>
              <w:ind w:left="359" w:hanging="290"/>
              <w:rPr>
                <w:rFonts w:asciiTheme="minorBidi" w:hAnsiTheme="minorBidi"/>
                <w:sz w:val="20"/>
                <w:szCs w:val="20"/>
                <w:lang w:val="en-US"/>
              </w:rPr>
            </w:pPr>
            <w:r w:rsidRPr="001B32F4">
              <w:rPr>
                <w:rFonts w:asciiTheme="minorBidi" w:hAnsiTheme="minorBidi"/>
                <w:sz w:val="20"/>
                <w:szCs w:val="20"/>
                <w:lang w:val="en-US"/>
              </w:rPr>
              <w:t>Intentions to vaccinate were a function of the interaction between the vaccine requirement manipulation, norms, and psychological reactance.</w:t>
            </w:r>
          </w:p>
        </w:tc>
        <w:tc>
          <w:tcPr>
            <w:tcW w:w="1546" w:type="dxa"/>
          </w:tcPr>
          <w:p w:rsidR="00042F45" w:rsidRPr="001B32F4" w:rsidRDefault="00042F45" w:rsidP="001B32F4">
            <w:pPr>
              <w:rPr>
                <w:rFonts w:asciiTheme="minorBidi" w:hAnsiTheme="minorBidi"/>
                <w:sz w:val="20"/>
                <w:szCs w:val="20"/>
                <w:lang w:val="en-US"/>
              </w:rPr>
            </w:pPr>
          </w:p>
        </w:tc>
      </w:tr>
      <w:tr w:rsidR="007058B7" w:rsidRPr="001B32F4" w:rsidTr="00952736">
        <w:tc>
          <w:tcPr>
            <w:tcW w:w="1602" w:type="dxa"/>
          </w:tcPr>
          <w:p w:rsidR="00042F45" w:rsidRPr="001B32F4" w:rsidRDefault="00042F45" w:rsidP="001B32F4">
            <w:pPr>
              <w:rPr>
                <w:rFonts w:asciiTheme="minorBidi" w:hAnsiTheme="minorBidi"/>
                <w:sz w:val="20"/>
                <w:szCs w:val="20"/>
                <w:lang w:val="en-US"/>
              </w:rPr>
            </w:pPr>
            <w:proofErr w:type="spellStart"/>
            <w:r w:rsidRPr="001B32F4">
              <w:rPr>
                <w:rFonts w:asciiTheme="minorBidi" w:hAnsiTheme="minorBidi"/>
                <w:sz w:val="20"/>
                <w:szCs w:val="20"/>
                <w:lang w:val="en-US"/>
              </w:rPr>
              <w:t>Alshahrani</w:t>
            </w:r>
            <w:proofErr w:type="spellEnd"/>
            <w:r w:rsidRPr="001B32F4">
              <w:rPr>
                <w:rFonts w:asciiTheme="minorBidi" w:hAnsiTheme="minorBidi"/>
                <w:sz w:val="20"/>
                <w:szCs w:val="20"/>
                <w:lang w:val="en-US"/>
              </w:rPr>
              <w:t xml:space="preserve"> et al.</w:t>
            </w:r>
            <w:r w:rsidR="00BC446A" w:rsidRPr="001B32F4">
              <w:rPr>
                <w:rFonts w:asciiTheme="minorBidi" w:hAnsiTheme="minorBidi"/>
                <w:sz w:val="20"/>
                <w:szCs w:val="20"/>
                <w:lang w:val="en-US"/>
              </w:rPr>
              <w:t xml:space="preserve"> (2021)</w:t>
            </w:r>
          </w:p>
        </w:tc>
        <w:tc>
          <w:tcPr>
            <w:tcW w:w="1775" w:type="dxa"/>
          </w:tcPr>
          <w:p w:rsidR="00042F45" w:rsidRPr="001B32F4" w:rsidRDefault="00042F45" w:rsidP="001B32F4">
            <w:pPr>
              <w:rPr>
                <w:rFonts w:asciiTheme="minorBidi" w:hAnsiTheme="minorBidi"/>
                <w:sz w:val="20"/>
                <w:szCs w:val="20"/>
                <w:lang w:val="en-US"/>
              </w:rPr>
            </w:pPr>
          </w:p>
        </w:tc>
        <w:tc>
          <w:tcPr>
            <w:tcW w:w="1675" w:type="dxa"/>
          </w:tcPr>
          <w:p w:rsidR="00042F45" w:rsidRPr="001B32F4" w:rsidRDefault="00042F45" w:rsidP="001B32F4">
            <w:pPr>
              <w:rPr>
                <w:rFonts w:asciiTheme="minorBidi" w:hAnsiTheme="minorBidi"/>
                <w:sz w:val="20"/>
                <w:szCs w:val="20"/>
                <w:lang w:val="en-US"/>
              </w:rPr>
            </w:pPr>
          </w:p>
        </w:tc>
        <w:tc>
          <w:tcPr>
            <w:tcW w:w="2577" w:type="dxa"/>
          </w:tcPr>
          <w:p w:rsidR="00C07E28" w:rsidRPr="001B32F4" w:rsidRDefault="00C07E28" w:rsidP="001B32F4">
            <w:pPr>
              <w:pStyle w:val="ListParagraph"/>
              <w:numPr>
                <w:ilvl w:val="0"/>
                <w:numId w:val="3"/>
              </w:numPr>
              <w:ind w:left="285" w:hanging="284"/>
              <w:rPr>
                <w:rFonts w:asciiTheme="minorBidi" w:hAnsiTheme="minorBidi"/>
                <w:sz w:val="20"/>
                <w:szCs w:val="20"/>
                <w:lang w:val="en-US"/>
              </w:rPr>
            </w:pPr>
            <w:r w:rsidRPr="001B32F4">
              <w:rPr>
                <w:rFonts w:asciiTheme="minorBidi" w:hAnsiTheme="minorBidi"/>
                <w:sz w:val="20"/>
                <w:szCs w:val="20"/>
                <w:lang w:val="en-US"/>
              </w:rPr>
              <w:t>Approximately 64% of the study participants showed an intention to accept the vaccine while 18.3% were extremely hesitant.</w:t>
            </w:r>
          </w:p>
          <w:p w:rsidR="00042F45" w:rsidRPr="001B32F4" w:rsidRDefault="00C07E28" w:rsidP="001B32F4">
            <w:pPr>
              <w:pStyle w:val="ListParagraph"/>
              <w:numPr>
                <w:ilvl w:val="0"/>
                <w:numId w:val="3"/>
              </w:numPr>
              <w:ind w:left="285" w:hanging="284"/>
              <w:rPr>
                <w:rFonts w:asciiTheme="minorBidi" w:hAnsiTheme="minorBidi"/>
                <w:sz w:val="20"/>
                <w:szCs w:val="20"/>
                <w:lang w:val="en-US"/>
              </w:rPr>
            </w:pPr>
            <w:r w:rsidRPr="001B32F4">
              <w:rPr>
                <w:rFonts w:asciiTheme="minorBidi" w:hAnsiTheme="minorBidi"/>
                <w:sz w:val="20"/>
                <w:szCs w:val="20"/>
                <w:lang w:val="en-US"/>
              </w:rPr>
              <w:t xml:space="preserve">Factors associated with the acceptance were the source of health information about COVID-19 (OR = 1.63, 95% CI [1.07–2.47]), perception of vaccine effectiveness (OR = 7.24, 95% CI [4.58–11.45]), previous uptake of the influenza vaccine </w:t>
            </w:r>
            <w:r w:rsidRPr="001B32F4">
              <w:rPr>
                <w:rFonts w:asciiTheme="minorBidi" w:hAnsiTheme="minorBidi"/>
                <w:sz w:val="20"/>
                <w:szCs w:val="20"/>
                <w:lang w:val="en-US"/>
              </w:rPr>
              <w:lastRenderedPageBreak/>
              <w:t>(OR = 1.62, 95% CI</w:t>
            </w:r>
            <w:r w:rsidR="004644F6" w:rsidRPr="001B32F4">
              <w:rPr>
                <w:rFonts w:asciiTheme="minorBidi" w:hAnsiTheme="minorBidi"/>
                <w:sz w:val="20"/>
                <w:szCs w:val="20"/>
                <w:lang w:val="en-US"/>
              </w:rPr>
              <w:t xml:space="preserve"> </w:t>
            </w:r>
            <w:r w:rsidRPr="001B32F4">
              <w:rPr>
                <w:rFonts w:asciiTheme="minorBidi" w:hAnsiTheme="minorBidi"/>
                <w:sz w:val="20"/>
                <w:szCs w:val="20"/>
                <w:lang w:val="en-US"/>
              </w:rPr>
              <w:t>[1.07–2.47]), and potential vaccination mandate to travel internationally (OR = 16.52, 95% CI [10.23–26.68]).</w:t>
            </w:r>
          </w:p>
        </w:tc>
        <w:tc>
          <w:tcPr>
            <w:tcW w:w="1546" w:type="dxa"/>
          </w:tcPr>
          <w:p w:rsidR="00042F45" w:rsidRPr="001B32F4" w:rsidRDefault="00042F45"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Arif</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90830" w:rsidP="001B32F4">
            <w:pPr>
              <w:rPr>
                <w:rFonts w:asciiTheme="minorBidi" w:hAnsiTheme="minorBidi"/>
                <w:sz w:val="20"/>
                <w:szCs w:val="20"/>
                <w:lang w:val="en-US"/>
              </w:rPr>
            </w:pPr>
            <w:r w:rsidRPr="001B32F4">
              <w:rPr>
                <w:rFonts w:asciiTheme="minorBidi" w:hAnsiTheme="minorBidi"/>
                <w:color w:val="2E2E2E"/>
                <w:sz w:val="20"/>
                <w:szCs w:val="20"/>
                <w:shd w:val="clear" w:color="auto" w:fill="FFFFFF"/>
              </w:rPr>
              <w:t>COVID- 19 vaccination mandates decreased the odds ratio of participant vaccination by 0.27.</w:t>
            </w: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Bennett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90830" w:rsidRPr="001B32F4" w:rsidRDefault="00E90830" w:rsidP="001B32F4">
            <w:pPr>
              <w:pStyle w:val="NormalWeb"/>
              <w:spacing w:before="0" w:beforeAutospacing="0" w:after="160" w:afterAutospacing="0"/>
              <w:rPr>
                <w:rFonts w:asciiTheme="minorBidi" w:hAnsiTheme="minorBidi" w:cstheme="minorBidi"/>
                <w:sz w:val="20"/>
                <w:szCs w:val="20"/>
              </w:rPr>
            </w:pPr>
            <w:r w:rsidRPr="001B32F4">
              <w:rPr>
                <w:rFonts w:asciiTheme="minorBidi" w:hAnsiTheme="minorBidi" w:cstheme="minorBidi"/>
                <w:color w:val="2E2E2E"/>
                <w:sz w:val="20"/>
                <w:szCs w:val="20"/>
                <w:shd w:val="clear" w:color="auto" w:fill="FFFFFF"/>
              </w:rPr>
              <w:t>An employer vaccine mandate leads to a net increase in the probability of vaccine uptake of 8.7 percentage points (p&lt;0.001).</w:t>
            </w:r>
          </w:p>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Burgio</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The final attack rate would decrease, increase or vary non-monotonously with respect to the mixing rate depending on the epidemic pressure, vaccine coverage and efficacy.</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Cohn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pStyle w:val="ListParagraph"/>
              <w:ind w:left="276"/>
              <w:rPr>
                <w:rFonts w:asciiTheme="minorBidi" w:hAnsiTheme="minorBidi"/>
                <w:sz w:val="20"/>
                <w:szCs w:val="20"/>
                <w:lang w:val="en-US"/>
              </w:rPr>
            </w:pPr>
          </w:p>
        </w:tc>
        <w:tc>
          <w:tcPr>
            <w:tcW w:w="2577" w:type="dxa"/>
          </w:tcPr>
          <w:p w:rsidR="00EF2C14" w:rsidRPr="001B32F4" w:rsidRDefault="00E90830" w:rsidP="001B32F4">
            <w:pPr>
              <w:rPr>
                <w:rFonts w:asciiTheme="minorBidi" w:hAnsiTheme="minorBidi"/>
                <w:sz w:val="20"/>
                <w:szCs w:val="20"/>
                <w:lang w:val="en-US"/>
              </w:rPr>
            </w:pPr>
            <w:r w:rsidRPr="001B32F4">
              <w:rPr>
                <w:rFonts w:asciiTheme="minorBidi" w:hAnsiTheme="minorBidi"/>
                <w:color w:val="2E2E2E"/>
                <w:sz w:val="20"/>
                <w:szCs w:val="20"/>
                <w:shd w:val="clear" w:color="auto" w:fill="FFFFFF"/>
              </w:rPr>
              <w:t>Cumulative adult vaccination rate for NYC increased from 72.5% to 89.4% (+16.9 percentage points [p.p.]) during the intervention period, compared with an increase from 72.5% to 83.2% (+10.7 p.p.) for the synthetic control group, which equals to a difference of 6.2 p.p. (95% CI 1.4–10.7).</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Cuschieri</w:t>
            </w:r>
            <w:proofErr w:type="spellEnd"/>
            <w:r w:rsidRPr="001B32F4">
              <w:rPr>
                <w:rFonts w:asciiTheme="minorBidi" w:hAnsiTheme="minorBidi"/>
                <w:sz w:val="20"/>
                <w:szCs w:val="20"/>
                <w:lang w:val="en-US"/>
              </w:rPr>
              <w:t xml:space="preserve"> et al. (2022) </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pStyle w:val="ListParagraph"/>
              <w:numPr>
                <w:ilvl w:val="0"/>
                <w:numId w:val="4"/>
              </w:numPr>
              <w:ind w:left="276" w:hanging="276"/>
              <w:rPr>
                <w:rFonts w:asciiTheme="minorBidi" w:hAnsiTheme="minorBidi"/>
                <w:sz w:val="20"/>
                <w:szCs w:val="20"/>
                <w:lang w:val="en-US"/>
              </w:rPr>
            </w:pPr>
            <w:r w:rsidRPr="001B32F4">
              <w:rPr>
                <w:rFonts w:asciiTheme="minorBidi" w:hAnsiTheme="minorBidi"/>
                <w:sz w:val="20"/>
                <w:szCs w:val="20"/>
                <w:lang w:val="en-US"/>
              </w:rPr>
              <w:t>An increase in reported COVID-19 positive cases was observed at a local (host cities/regions) and national (participating and non-</w:t>
            </w:r>
            <w:r w:rsidRPr="001B32F4">
              <w:rPr>
                <w:rFonts w:asciiTheme="minorBidi" w:hAnsiTheme="minorBidi"/>
                <w:sz w:val="20"/>
                <w:szCs w:val="20"/>
                <w:lang w:val="en-US"/>
              </w:rPr>
              <w:lastRenderedPageBreak/>
              <w:t>participating countries) from the onset of the EURO2020.</w:t>
            </w:r>
          </w:p>
          <w:p w:rsidR="00EF2C14" w:rsidRPr="001B32F4" w:rsidRDefault="00EF2C14" w:rsidP="001B32F4">
            <w:pPr>
              <w:pStyle w:val="ListParagraph"/>
              <w:numPr>
                <w:ilvl w:val="0"/>
                <w:numId w:val="4"/>
              </w:numPr>
              <w:ind w:left="276" w:hanging="276"/>
              <w:rPr>
                <w:rFonts w:asciiTheme="minorBidi" w:hAnsiTheme="minorBidi"/>
                <w:sz w:val="20"/>
                <w:szCs w:val="20"/>
                <w:lang w:val="en-US"/>
              </w:rPr>
            </w:pPr>
            <w:r w:rsidRPr="001B32F4">
              <w:rPr>
                <w:rFonts w:asciiTheme="minorBidi" w:hAnsiTheme="minorBidi"/>
                <w:sz w:val="20"/>
                <w:szCs w:val="20"/>
                <w:lang w:val="en-US"/>
              </w:rPr>
              <w:t>For most countries, the peak in positive cases was reached in the week of 12-18 July 2021 except for Italy, Scotland and Wales.</w:t>
            </w: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 xml:space="preserve">de </w:t>
            </w:r>
            <w:proofErr w:type="spellStart"/>
            <w:r w:rsidRPr="001B32F4">
              <w:rPr>
                <w:rFonts w:asciiTheme="minorBidi" w:hAnsiTheme="minorBidi"/>
                <w:sz w:val="20"/>
                <w:szCs w:val="20"/>
                <w:lang w:val="en-US"/>
              </w:rPr>
              <w:t>Figueiredo</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4"/>
              </w:numPr>
              <w:ind w:left="234" w:hanging="234"/>
              <w:rPr>
                <w:rFonts w:asciiTheme="minorBidi" w:hAnsiTheme="minorBidi"/>
                <w:sz w:val="20"/>
                <w:szCs w:val="20"/>
                <w:lang w:val="en-US"/>
              </w:rPr>
            </w:pPr>
            <w:r w:rsidRPr="001B32F4">
              <w:rPr>
                <w:rFonts w:asciiTheme="minorBidi" w:hAnsiTheme="minorBidi"/>
                <w:sz w:val="20"/>
                <w:szCs w:val="20"/>
                <w:lang w:val="en-US"/>
              </w:rPr>
              <w:t>Around 78.71% (95% highest posterior density interval [76.14 to 81.04]) of the adult population who have not yet had both doses of a COVID-19 vaccine will ‘definitely’ accept a future dose, while 11.72% (10.54 to 12.83) are ‘unsure but leaning towards yes’. Around 4.51% (3.84 to 5.24) will ‘definitely not’ accept a future COVID-19 vaccine, while 5.06% (4.43 to 5.73) are ‘unsure but leaning towards no’.</w:t>
            </w:r>
          </w:p>
          <w:p w:rsidR="00EF2C14" w:rsidRPr="001B32F4" w:rsidRDefault="00EF2C14" w:rsidP="001B32F4">
            <w:pPr>
              <w:pStyle w:val="ListParagraph"/>
              <w:numPr>
                <w:ilvl w:val="0"/>
                <w:numId w:val="4"/>
              </w:numPr>
              <w:ind w:left="234" w:hanging="234"/>
              <w:rPr>
                <w:rFonts w:asciiTheme="minorBidi" w:hAnsiTheme="minorBidi"/>
                <w:sz w:val="20"/>
                <w:szCs w:val="20"/>
                <w:lang w:val="en-US"/>
              </w:rPr>
            </w:pPr>
            <w:r w:rsidRPr="001B32F4">
              <w:rPr>
                <w:rFonts w:asciiTheme="minorBidi" w:hAnsiTheme="minorBidi"/>
                <w:sz w:val="20"/>
                <w:szCs w:val="20"/>
                <w:lang w:val="en-US"/>
              </w:rPr>
              <w:t>Around 58.4% (56.8 to 62.6) of the adult population believe that vaccination certificates or passports is the same as requiring vaccination and 59.8% (56.8 to 62.6), believe that this is a good idea.</w:t>
            </w:r>
          </w:p>
          <w:p w:rsidR="00EF2C14" w:rsidRPr="001B32F4" w:rsidRDefault="00EF2C14" w:rsidP="001B32F4">
            <w:pPr>
              <w:pStyle w:val="ListParagraph"/>
              <w:numPr>
                <w:ilvl w:val="0"/>
                <w:numId w:val="4"/>
              </w:numPr>
              <w:ind w:left="234" w:hanging="234"/>
              <w:rPr>
                <w:rFonts w:asciiTheme="minorBidi" w:hAnsiTheme="minorBidi"/>
                <w:sz w:val="20"/>
                <w:szCs w:val="20"/>
                <w:lang w:val="en-US"/>
              </w:rPr>
            </w:pPr>
            <w:r w:rsidRPr="001B32F4">
              <w:rPr>
                <w:rFonts w:asciiTheme="minorBidi" w:hAnsiTheme="minorBidi"/>
                <w:sz w:val="20"/>
                <w:szCs w:val="20"/>
                <w:lang w:val="en-US"/>
              </w:rPr>
              <w:t>COVID-19 pass for international travel are less disagreeable than for domestic purposes, with net impact S</w:t>
            </w:r>
            <w:r w:rsidRPr="001B32F4">
              <w:rPr>
                <w:rFonts w:asciiTheme="minorBidi" w:hAnsiTheme="minorBidi"/>
                <w:sz w:val="20"/>
                <w:szCs w:val="20"/>
                <w:vertAlign w:val="subscript"/>
                <w:lang w:val="en-US"/>
              </w:rPr>
              <w:t>DOM</w:t>
            </w:r>
            <w:r w:rsidRPr="001B32F4">
              <w:rPr>
                <w:rFonts w:asciiTheme="minorBidi" w:hAnsiTheme="minorBidi"/>
                <w:sz w:val="20"/>
                <w:szCs w:val="20"/>
                <w:lang w:val="en-US"/>
              </w:rPr>
              <w:t>- S</w:t>
            </w:r>
            <w:r w:rsidRPr="001B32F4">
              <w:rPr>
                <w:rFonts w:asciiTheme="minorBidi" w:hAnsiTheme="minorBidi"/>
                <w:sz w:val="20"/>
                <w:szCs w:val="20"/>
                <w:vertAlign w:val="subscript"/>
                <w:lang w:val="en-US"/>
              </w:rPr>
              <w:t>INT</w:t>
            </w:r>
            <w:r w:rsidRPr="001B32F4">
              <w:rPr>
                <w:rFonts w:asciiTheme="minorBidi" w:hAnsiTheme="minorBidi"/>
                <w:sz w:val="20"/>
                <w:szCs w:val="20"/>
                <w:lang w:val="en-US"/>
              </w:rPr>
              <w:t xml:space="preserve"> = -1.99 (-3.87 to 0.13).</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De Giorgio et al. (2022)</w:t>
            </w:r>
          </w:p>
          <w:p w:rsidR="00EF2C14" w:rsidRPr="001B32F4" w:rsidRDefault="00EF2C14" w:rsidP="001B32F4">
            <w:pPr>
              <w:rPr>
                <w:rFonts w:asciiTheme="minorBidi" w:hAnsiTheme="minorBidi"/>
                <w:sz w:val="20"/>
                <w:szCs w:val="20"/>
                <w:lang w:val="en-US"/>
              </w:rPr>
            </w:pP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5"/>
              </w:numPr>
              <w:ind w:left="234" w:hanging="234"/>
              <w:rPr>
                <w:rFonts w:asciiTheme="minorBidi" w:hAnsiTheme="minorBidi"/>
                <w:sz w:val="20"/>
                <w:szCs w:val="20"/>
                <w:lang w:val="en-US"/>
              </w:rPr>
            </w:pPr>
            <w:r w:rsidRPr="001B32F4">
              <w:rPr>
                <w:rFonts w:asciiTheme="minorBidi" w:hAnsiTheme="minorBidi"/>
                <w:sz w:val="20"/>
                <w:szCs w:val="20"/>
                <w:lang w:val="en-US"/>
              </w:rPr>
              <w:t xml:space="preserve">Participants with a postgraduate degree (OR = 2.25, 95% CI [1.14–4.46]) or PhD (OR = 1.97, 95% CI </w:t>
            </w:r>
            <w:r w:rsidRPr="001B32F4">
              <w:rPr>
                <w:rFonts w:asciiTheme="minorBidi" w:hAnsiTheme="minorBidi"/>
                <w:sz w:val="20"/>
                <w:szCs w:val="20"/>
                <w:lang w:val="en-US"/>
              </w:rPr>
              <w:lastRenderedPageBreak/>
              <w:t xml:space="preserve">[1.01–3.52], who search information on TV and radio (OR = 2.35, 95% CI [1.71–3.23]) or from general practitioner (OR = 2.53, 95% CI [1.78–3.61]) had higher odds of being vaccinated. </w:t>
            </w:r>
          </w:p>
          <w:p w:rsidR="00EF2C14" w:rsidRPr="001B32F4" w:rsidRDefault="00EF2C14" w:rsidP="001B32F4">
            <w:pPr>
              <w:pStyle w:val="ListParagraph"/>
              <w:numPr>
                <w:ilvl w:val="0"/>
                <w:numId w:val="5"/>
              </w:numPr>
              <w:ind w:left="234" w:hanging="234"/>
              <w:rPr>
                <w:rFonts w:asciiTheme="minorBidi" w:hAnsiTheme="minorBidi"/>
                <w:sz w:val="20"/>
                <w:szCs w:val="20"/>
                <w:lang w:val="en-US"/>
              </w:rPr>
            </w:pPr>
            <w:r w:rsidRPr="001B32F4">
              <w:rPr>
                <w:rFonts w:asciiTheme="minorBidi" w:hAnsiTheme="minorBidi"/>
                <w:sz w:val="20"/>
                <w:szCs w:val="20"/>
                <w:lang w:val="en-US"/>
              </w:rPr>
              <w:t>Around 41.6% of all participants (n=1,003) and 79.8% of vaccinated participants (n=435) found COVID-19 pass to be beneficial.</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Dube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6"/>
              </w:numPr>
              <w:ind w:left="234" w:hanging="234"/>
              <w:rPr>
                <w:rFonts w:asciiTheme="minorBidi" w:hAnsiTheme="minorBidi"/>
                <w:sz w:val="20"/>
                <w:szCs w:val="20"/>
                <w:lang w:val="en-US"/>
              </w:rPr>
            </w:pPr>
            <w:r w:rsidRPr="001B32F4">
              <w:rPr>
                <w:rFonts w:asciiTheme="minorBidi" w:hAnsiTheme="minorBidi"/>
                <w:sz w:val="20"/>
                <w:szCs w:val="20"/>
                <w:lang w:val="en-US"/>
              </w:rPr>
              <w:t xml:space="preserve">Between 9 July - 1 September 2021, the complete vaccine uptake rose from 62% to 88%. </w:t>
            </w:r>
          </w:p>
          <w:p w:rsidR="00EF2C14" w:rsidRPr="001B32F4" w:rsidRDefault="00EF2C14" w:rsidP="001B32F4">
            <w:pPr>
              <w:pStyle w:val="ListParagraph"/>
              <w:numPr>
                <w:ilvl w:val="0"/>
                <w:numId w:val="6"/>
              </w:numPr>
              <w:ind w:left="234" w:hanging="234"/>
              <w:rPr>
                <w:rFonts w:asciiTheme="minorBidi" w:hAnsiTheme="minorBidi"/>
                <w:sz w:val="20"/>
                <w:szCs w:val="20"/>
                <w:lang w:val="en-US"/>
              </w:rPr>
            </w:pPr>
            <w:r w:rsidRPr="001B32F4">
              <w:rPr>
                <w:rFonts w:asciiTheme="minorBidi" w:hAnsiTheme="minorBidi"/>
                <w:sz w:val="20"/>
                <w:szCs w:val="20"/>
                <w:lang w:val="en-US"/>
              </w:rPr>
              <w:t>Among unvaccinated respondents, 32% reported a positive influence of the lottery on their intention to be vaccinated against COVID-19, 39% for the vaccine passport, and 20% for both.</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bidi="he-IL"/>
              </w:rPr>
              <w:t>Ghaffarzadegan</w:t>
            </w:r>
            <w:proofErr w:type="spellEnd"/>
            <w:r w:rsidRPr="001B32F4">
              <w:rPr>
                <w:rFonts w:asciiTheme="minorBidi" w:hAnsiTheme="minorBidi"/>
                <w:sz w:val="20"/>
                <w:szCs w:val="20"/>
                <w:lang w:val="en-US"/>
              </w:rPr>
              <w:t xml:space="preserve"> (2022)</w:t>
            </w:r>
          </w:p>
          <w:p w:rsidR="00EF2C14" w:rsidRPr="001B32F4" w:rsidRDefault="00EF2C14" w:rsidP="001B32F4">
            <w:pPr>
              <w:rPr>
                <w:rFonts w:asciiTheme="minorBidi" w:hAnsiTheme="minorBidi"/>
                <w:sz w:val="20"/>
                <w:szCs w:val="20"/>
                <w:lang w:val="en-US"/>
              </w:rPr>
            </w:pPr>
          </w:p>
        </w:tc>
        <w:tc>
          <w:tcPr>
            <w:tcW w:w="1775" w:type="dxa"/>
          </w:tcPr>
          <w:p w:rsidR="00EF2C14" w:rsidRPr="001B32F4" w:rsidRDefault="00E90830" w:rsidP="001B32F4">
            <w:pPr>
              <w:rPr>
                <w:rFonts w:asciiTheme="minorBidi" w:hAnsiTheme="minorBidi"/>
                <w:sz w:val="20"/>
                <w:szCs w:val="20"/>
                <w:lang w:val="en-US"/>
              </w:rPr>
            </w:pPr>
            <w:r w:rsidRPr="001B32F4">
              <w:rPr>
                <w:rFonts w:asciiTheme="minorBidi" w:hAnsiTheme="minorBidi"/>
                <w:color w:val="000000"/>
                <w:sz w:val="20"/>
                <w:szCs w:val="20"/>
              </w:rPr>
              <w:t>Mandatory vaccination substantially decreased cases in institutions of higher education by 1,473 cases per 100,000 student population (95 CI: 132 - 2813).</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90830" w:rsidP="001B32F4">
            <w:pPr>
              <w:pStyle w:val="ListParagraph"/>
              <w:numPr>
                <w:ilvl w:val="0"/>
                <w:numId w:val="7"/>
              </w:numPr>
              <w:ind w:left="234" w:hanging="234"/>
              <w:rPr>
                <w:rFonts w:asciiTheme="minorBidi" w:hAnsiTheme="minorBidi"/>
                <w:sz w:val="20"/>
                <w:szCs w:val="20"/>
                <w:lang w:val="en-US"/>
              </w:rPr>
            </w:pPr>
            <w:r w:rsidRPr="001B32F4">
              <w:rPr>
                <w:rFonts w:asciiTheme="minorBidi" w:hAnsiTheme="minorBidi"/>
                <w:color w:val="000000"/>
                <w:sz w:val="20"/>
                <w:szCs w:val="20"/>
              </w:rPr>
              <w:t>COVID-19 vaccination rates were higher in institutions that mandated it.</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Hohenegger</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An efficiency of a vaccine-only COVID-19 pass of roughly 20-40% is strong enough to completely suppress a potential new wave.</w:t>
            </w:r>
          </w:p>
        </w:tc>
        <w:tc>
          <w:tcPr>
            <w:tcW w:w="16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The efficacy of a vaccine-testing COVID-19 pass needs to roughly be twice as high to produce the same reduction of infections as a vaccine-only COVID-19 pass.</w:t>
            </w: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bidi="he-IL"/>
              </w:rPr>
              <w:t>Howard-Williams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2B7EB5" w:rsidRPr="001B32F4" w:rsidRDefault="00E90830" w:rsidP="001B32F4">
            <w:pPr>
              <w:pStyle w:val="NormalWeb"/>
              <w:numPr>
                <w:ilvl w:val="0"/>
                <w:numId w:val="7"/>
              </w:numPr>
              <w:spacing w:before="0" w:beforeAutospacing="0" w:after="160" w:afterAutospacing="0"/>
              <w:ind w:left="237" w:hanging="192"/>
              <w:rPr>
                <w:rFonts w:asciiTheme="minorBidi" w:hAnsiTheme="minorBidi" w:cstheme="minorBidi"/>
                <w:sz w:val="20"/>
                <w:szCs w:val="20"/>
              </w:rPr>
            </w:pPr>
            <w:r w:rsidRPr="001B32F4">
              <w:rPr>
                <w:rFonts w:asciiTheme="minorBidi" w:hAnsiTheme="minorBidi" w:cstheme="minorBidi"/>
                <w:color w:val="000000"/>
                <w:sz w:val="20"/>
                <w:szCs w:val="20"/>
              </w:rPr>
              <w:t>Around 634,831</w:t>
            </w:r>
            <w:r w:rsidR="002B7EB5" w:rsidRPr="001B32F4">
              <w:rPr>
                <w:rFonts w:asciiTheme="minorBidi" w:hAnsiTheme="minorBidi" w:cstheme="minorBidi"/>
                <w:color w:val="000000"/>
                <w:sz w:val="20"/>
                <w:szCs w:val="20"/>
              </w:rPr>
              <w:t xml:space="preserve"> first doses</w:t>
            </w:r>
            <w:r w:rsidRPr="001B32F4">
              <w:rPr>
                <w:rFonts w:asciiTheme="minorBidi" w:hAnsiTheme="minorBidi" w:cstheme="minorBidi"/>
                <w:color w:val="000000"/>
                <w:sz w:val="20"/>
                <w:szCs w:val="20"/>
              </w:rPr>
              <w:t xml:space="preserve"> (11.5%) were associated with the mandate announcement.</w:t>
            </w:r>
          </w:p>
          <w:p w:rsidR="00EF2C14" w:rsidRPr="001B32F4" w:rsidRDefault="00E90830" w:rsidP="001B32F4">
            <w:pPr>
              <w:pStyle w:val="NormalWeb"/>
              <w:numPr>
                <w:ilvl w:val="0"/>
                <w:numId w:val="7"/>
              </w:numPr>
              <w:spacing w:before="0" w:beforeAutospacing="0" w:after="160" w:afterAutospacing="0"/>
              <w:ind w:left="237" w:hanging="192"/>
              <w:rPr>
                <w:rFonts w:asciiTheme="minorBidi" w:hAnsiTheme="minorBidi" w:cstheme="minorBidi"/>
                <w:sz w:val="20"/>
                <w:szCs w:val="20"/>
                <w:lang w:val="en-US"/>
              </w:rPr>
            </w:pPr>
            <w:r w:rsidRPr="001B32F4">
              <w:rPr>
                <w:rFonts w:asciiTheme="minorBidi" w:hAnsiTheme="minorBidi" w:cstheme="minorBidi"/>
                <w:color w:val="000000"/>
                <w:sz w:val="20"/>
                <w:szCs w:val="20"/>
              </w:rPr>
              <w:t xml:space="preserve">First-dose administration coverage among 13 </w:t>
            </w:r>
            <w:r w:rsidRPr="001B32F4">
              <w:rPr>
                <w:rFonts w:asciiTheme="minorBidi" w:hAnsiTheme="minorBidi" w:cstheme="minorBidi"/>
                <w:color w:val="000000"/>
                <w:sz w:val="20"/>
                <w:szCs w:val="20"/>
              </w:rPr>
              <w:lastRenderedPageBreak/>
              <w:t>jurisdictions increased starting at 3 weeks after the mandate announcement, with statistically significant differences of 0.20, 0.33, 0.39, 0.45, 0.49, and 0.59 percentage points higher than the referent category coverage of 62.9%.</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Hubble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2B7EB5" w:rsidRPr="001B32F4" w:rsidRDefault="002B7EB5" w:rsidP="001B32F4">
            <w:pPr>
              <w:pStyle w:val="NormalWeb"/>
              <w:numPr>
                <w:ilvl w:val="0"/>
                <w:numId w:val="20"/>
              </w:numPr>
              <w:spacing w:before="0" w:beforeAutospacing="0" w:after="160" w:afterAutospacing="0"/>
              <w:ind w:left="316" w:hanging="283"/>
              <w:rPr>
                <w:rFonts w:asciiTheme="minorBidi" w:hAnsiTheme="minorBidi" w:cstheme="minorBidi"/>
                <w:sz w:val="20"/>
                <w:szCs w:val="20"/>
              </w:rPr>
            </w:pPr>
            <w:r w:rsidRPr="001B32F4">
              <w:rPr>
                <w:rFonts w:asciiTheme="minorBidi" w:hAnsiTheme="minorBidi" w:cstheme="minorBidi"/>
                <w:color w:val="000000"/>
                <w:sz w:val="20"/>
                <w:szCs w:val="20"/>
              </w:rPr>
              <w:t>About 74.7% of the total respondents reported receiving the COVID-19 vaccination</w:t>
            </w:r>
          </w:p>
          <w:p w:rsidR="00EF2C14" w:rsidRPr="001B32F4" w:rsidRDefault="002B7EB5" w:rsidP="001B32F4">
            <w:pPr>
              <w:pStyle w:val="NormalWeb"/>
              <w:numPr>
                <w:ilvl w:val="0"/>
                <w:numId w:val="20"/>
              </w:numPr>
              <w:spacing w:before="0" w:beforeAutospacing="0" w:after="160" w:afterAutospacing="0"/>
              <w:ind w:left="316" w:hanging="283"/>
              <w:rPr>
                <w:rFonts w:asciiTheme="minorBidi" w:hAnsiTheme="minorBidi" w:cstheme="minorBidi"/>
                <w:sz w:val="20"/>
                <w:szCs w:val="20"/>
                <w:lang w:val="en-US"/>
              </w:rPr>
            </w:pPr>
            <w:r w:rsidRPr="001B32F4">
              <w:rPr>
                <w:rFonts w:asciiTheme="minorBidi" w:hAnsiTheme="minorBidi" w:cstheme="minorBidi"/>
                <w:color w:val="000000"/>
                <w:sz w:val="20"/>
                <w:szCs w:val="20"/>
              </w:rPr>
              <w:t>Predictors of vaccination included belief in vaccine safety (odds ratio [OR] 5.5, p-value &lt;0.001) and effectiveness (OR 4.6, p-value &lt;0.001); importance of vaccination to protect patients (OR 15.5, p-value &lt;0.001); perceived personal risk of infection (OR 1.8, p-value = 0.04); previous receipt of influenza vaccine (OR 2.5, p-value = 0.003); and sufficient knowledge to make an informed decision about vaccination (OR 2.4, p-value = 0.024)</w:t>
            </w:r>
          </w:p>
        </w:tc>
        <w:tc>
          <w:tcPr>
            <w:tcW w:w="1546" w:type="dxa"/>
          </w:tcPr>
          <w:p w:rsidR="002B7EB5" w:rsidRPr="001B32F4" w:rsidRDefault="002B7EB5" w:rsidP="001B32F4">
            <w:pPr>
              <w:pStyle w:val="NormalWeb"/>
              <w:spacing w:before="0" w:beforeAutospacing="0" w:after="160" w:afterAutospacing="0"/>
              <w:rPr>
                <w:rFonts w:asciiTheme="minorBidi" w:hAnsiTheme="minorBidi" w:cstheme="minorBidi"/>
                <w:sz w:val="20"/>
                <w:szCs w:val="20"/>
              </w:rPr>
            </w:pPr>
            <w:r w:rsidRPr="001B32F4">
              <w:rPr>
                <w:rFonts w:asciiTheme="minorBidi" w:hAnsiTheme="minorBidi" w:cstheme="minorBidi"/>
                <w:color w:val="000000"/>
                <w:sz w:val="20"/>
                <w:szCs w:val="20"/>
              </w:rPr>
              <w:t>Only 18.7% of the total respondents supported mandatory vaccination for EMS professionals</w:t>
            </w:r>
          </w:p>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Iwu</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ind w:left="249"/>
              <w:rPr>
                <w:rFonts w:asciiTheme="minorBidi" w:hAnsiTheme="minorBidi"/>
                <w:sz w:val="20"/>
                <w:szCs w:val="20"/>
                <w:lang w:val="en-US"/>
              </w:rPr>
            </w:pPr>
          </w:p>
        </w:tc>
        <w:tc>
          <w:tcPr>
            <w:tcW w:w="1546" w:type="dxa"/>
          </w:tcPr>
          <w:p w:rsidR="00EF2C14" w:rsidRPr="001B32F4" w:rsidRDefault="0072096C" w:rsidP="001B32F4">
            <w:pPr>
              <w:pStyle w:val="ListParagraph"/>
              <w:numPr>
                <w:ilvl w:val="0"/>
                <w:numId w:val="21"/>
              </w:numPr>
              <w:ind w:left="261" w:hanging="186"/>
              <w:rPr>
                <w:rFonts w:asciiTheme="minorBidi" w:hAnsiTheme="minorBidi"/>
                <w:sz w:val="20"/>
                <w:szCs w:val="20"/>
                <w:lang w:val="en-US"/>
              </w:rPr>
            </w:pPr>
            <w:r w:rsidRPr="001B32F4">
              <w:rPr>
                <w:rFonts w:asciiTheme="minorBidi" w:hAnsiTheme="minorBidi"/>
                <w:sz w:val="20"/>
                <w:szCs w:val="20"/>
                <w:lang w:val="en-US"/>
              </w:rPr>
              <w:t>The prevalence of vaccine hesitancy was 35.4%.</w:t>
            </w:r>
          </w:p>
          <w:p w:rsidR="0072096C" w:rsidRPr="001B32F4" w:rsidRDefault="0072096C" w:rsidP="001B32F4">
            <w:pPr>
              <w:pStyle w:val="ListParagraph"/>
              <w:numPr>
                <w:ilvl w:val="0"/>
                <w:numId w:val="21"/>
              </w:numPr>
              <w:spacing w:after="160"/>
              <w:ind w:left="261" w:hanging="186"/>
              <w:rPr>
                <w:rFonts w:asciiTheme="minorBidi" w:hAnsiTheme="minorBidi"/>
                <w:sz w:val="20"/>
                <w:szCs w:val="20"/>
                <w:lang w:val="en-US"/>
              </w:rPr>
            </w:pPr>
            <w:r w:rsidRPr="001B32F4">
              <w:rPr>
                <w:rFonts w:asciiTheme="minorBidi" w:hAnsiTheme="minorBidi"/>
                <w:sz w:val="20"/>
                <w:szCs w:val="20"/>
                <w:lang w:val="en-US"/>
              </w:rPr>
              <w:t>More than half of the respondents (67.4%) would not encourage vaccination mandates.</w:t>
            </w: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Juarez et al. (2022)</w:t>
            </w:r>
          </w:p>
        </w:tc>
        <w:tc>
          <w:tcPr>
            <w:tcW w:w="17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 xml:space="preserve">The number of COVID-19 cases in counties that implemented </w:t>
            </w:r>
            <w:r w:rsidRPr="001B32F4">
              <w:rPr>
                <w:rFonts w:asciiTheme="minorBidi" w:hAnsiTheme="minorBidi"/>
                <w:sz w:val="20"/>
                <w:szCs w:val="20"/>
                <w:lang w:val="en-US"/>
              </w:rPr>
              <w:lastRenderedPageBreak/>
              <w:t>vaccine or test passport mandates was decreased by 19.0%</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9"/>
              </w:numPr>
              <w:ind w:left="249" w:hanging="249"/>
              <w:rPr>
                <w:rFonts w:asciiTheme="minorBidi" w:hAnsiTheme="minorBidi"/>
                <w:sz w:val="20"/>
                <w:szCs w:val="20"/>
                <w:lang w:val="en-US"/>
              </w:rPr>
            </w:pPr>
            <w:r w:rsidRPr="001B32F4">
              <w:rPr>
                <w:rFonts w:asciiTheme="minorBidi" w:hAnsiTheme="minorBidi"/>
                <w:sz w:val="20"/>
                <w:szCs w:val="20"/>
                <w:lang w:val="en-US"/>
              </w:rPr>
              <w:t xml:space="preserve">The vaccination rate increased by 1.41% in counties that </w:t>
            </w:r>
            <w:r w:rsidRPr="001B32F4">
              <w:rPr>
                <w:rFonts w:asciiTheme="minorBidi" w:hAnsiTheme="minorBidi"/>
                <w:sz w:val="20"/>
                <w:szCs w:val="20"/>
                <w:lang w:val="en-US"/>
              </w:rPr>
              <w:lastRenderedPageBreak/>
              <w:t>implemented mandates.</w:t>
            </w:r>
          </w:p>
          <w:p w:rsidR="00EF2C14" w:rsidRPr="001B32F4" w:rsidRDefault="00EF2C14" w:rsidP="001B32F4">
            <w:pPr>
              <w:pStyle w:val="ListParagraph"/>
              <w:numPr>
                <w:ilvl w:val="0"/>
                <w:numId w:val="9"/>
              </w:numPr>
              <w:ind w:left="249" w:hanging="249"/>
              <w:rPr>
                <w:rFonts w:asciiTheme="minorBidi" w:hAnsiTheme="minorBidi"/>
                <w:sz w:val="20"/>
                <w:szCs w:val="20"/>
                <w:lang w:val="en-US"/>
              </w:rPr>
            </w:pPr>
            <w:r w:rsidRPr="001B32F4">
              <w:rPr>
                <w:rFonts w:asciiTheme="minorBidi" w:hAnsiTheme="minorBidi"/>
                <w:sz w:val="20"/>
                <w:szCs w:val="20"/>
                <w:lang w:val="en-US"/>
              </w:rPr>
              <w:t>Businesses that fell under the mandates had a significantly (6.7%, 95%Cl: 5.7–6.9%) lower number of customers, but later on, the number converged towards the level of that of non-impacted businesses.</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Karaivanov</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0"/>
              </w:numPr>
              <w:ind w:left="249" w:hanging="249"/>
              <w:rPr>
                <w:rFonts w:asciiTheme="minorBidi" w:hAnsiTheme="minorBidi"/>
                <w:sz w:val="20"/>
                <w:szCs w:val="20"/>
                <w:lang w:val="en-US"/>
              </w:rPr>
            </w:pPr>
            <w:r w:rsidRPr="001B32F4">
              <w:rPr>
                <w:rFonts w:asciiTheme="minorBidi" w:hAnsiTheme="minorBidi"/>
                <w:sz w:val="20"/>
                <w:szCs w:val="20"/>
                <w:lang w:val="en-US"/>
              </w:rPr>
              <w:t>As of 31 October 2021, the vaccination mandate increased vaccine uptake up to 5 percentage points (p.p.) (90% CI [3.9–5.8]) for Canadian provinces, adding up to 979,000 (425,000–1,266,000) first doses in total for Canada (5 to 13 weeks after the provincial mandate announcements).</w:t>
            </w:r>
          </w:p>
          <w:p w:rsidR="00EF2C14" w:rsidRPr="001B32F4" w:rsidRDefault="00EF2C14" w:rsidP="001B32F4">
            <w:pPr>
              <w:pStyle w:val="ListParagraph"/>
              <w:numPr>
                <w:ilvl w:val="0"/>
                <w:numId w:val="10"/>
              </w:numPr>
              <w:ind w:left="249" w:hanging="249"/>
              <w:rPr>
                <w:rFonts w:asciiTheme="minorBidi" w:hAnsiTheme="minorBidi"/>
                <w:sz w:val="20"/>
                <w:szCs w:val="20"/>
                <w:lang w:val="en-US"/>
              </w:rPr>
            </w:pPr>
            <w:r w:rsidRPr="001B32F4">
              <w:rPr>
                <w:rFonts w:asciiTheme="minorBidi" w:hAnsiTheme="minorBidi"/>
                <w:sz w:val="20"/>
                <w:szCs w:val="20"/>
                <w:lang w:val="en-US"/>
              </w:rPr>
              <w:t>In France, the uptake is increased up to 8 p.p. (90% CI [4.3–11]) within 16 weeks post-announcement, 12 p.p. (90% CI [5–15]) in Italy within 14 weeks post-announcement, 4.7 p.p. (90% CI [4.1–5.1]) in Germany within 11 weeks post-announcement.</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Kaufman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D70759" w:rsidRPr="001B32F4" w:rsidRDefault="00CA4272" w:rsidP="001B32F4">
            <w:pPr>
              <w:pStyle w:val="NormalWeb"/>
              <w:numPr>
                <w:ilvl w:val="0"/>
                <w:numId w:val="22"/>
              </w:numPr>
              <w:spacing w:before="0" w:beforeAutospacing="0" w:after="160" w:afterAutospacing="0"/>
              <w:ind w:left="292" w:hanging="283"/>
              <w:rPr>
                <w:rFonts w:asciiTheme="minorBidi" w:hAnsiTheme="minorBidi" w:cstheme="minorBidi"/>
                <w:sz w:val="20"/>
                <w:szCs w:val="20"/>
              </w:rPr>
            </w:pPr>
            <w:r w:rsidRPr="001B32F4">
              <w:rPr>
                <w:rFonts w:asciiTheme="minorBidi" w:hAnsiTheme="minorBidi" w:cstheme="minorBidi"/>
                <w:color w:val="000000"/>
                <w:sz w:val="20"/>
                <w:szCs w:val="20"/>
              </w:rPr>
              <w:t>More than half of all HCWs (57%, 1754/3058) said they would be more likely to get vaccinated if required by their employer.</w:t>
            </w:r>
          </w:p>
          <w:p w:rsidR="00EF2C14" w:rsidRPr="001B32F4" w:rsidRDefault="00CA4272" w:rsidP="001B32F4">
            <w:pPr>
              <w:pStyle w:val="NormalWeb"/>
              <w:numPr>
                <w:ilvl w:val="0"/>
                <w:numId w:val="22"/>
              </w:numPr>
              <w:spacing w:before="0" w:beforeAutospacing="0" w:after="160" w:afterAutospacing="0"/>
              <w:ind w:left="292" w:hanging="283"/>
              <w:rPr>
                <w:rFonts w:asciiTheme="minorBidi" w:hAnsiTheme="minorBidi" w:cstheme="minorBidi"/>
                <w:sz w:val="20"/>
                <w:szCs w:val="20"/>
                <w:lang w:val="en-US"/>
              </w:rPr>
            </w:pPr>
            <w:r w:rsidRPr="001B32F4">
              <w:rPr>
                <w:rFonts w:asciiTheme="minorBidi" w:hAnsiTheme="minorBidi" w:cstheme="minorBidi"/>
                <w:color w:val="000000"/>
                <w:sz w:val="20"/>
                <w:szCs w:val="20"/>
              </w:rPr>
              <w:t>Of those who did not intend to get the vaccine, 23% (159/676) indicated that they would be more likely to get vaccinated if their employer required it.</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Kelekar</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7C0FF6" w:rsidRPr="001B32F4" w:rsidRDefault="007C0FF6" w:rsidP="001B32F4">
            <w:pPr>
              <w:pStyle w:val="NormalWeb"/>
              <w:numPr>
                <w:ilvl w:val="0"/>
                <w:numId w:val="23"/>
              </w:numPr>
              <w:spacing w:before="0" w:beforeAutospacing="0" w:after="160" w:afterAutospacing="0"/>
              <w:ind w:left="292" w:hanging="283"/>
              <w:rPr>
                <w:rFonts w:asciiTheme="minorBidi" w:hAnsiTheme="minorBidi" w:cstheme="minorBidi"/>
                <w:sz w:val="20"/>
                <w:szCs w:val="20"/>
              </w:rPr>
            </w:pPr>
            <w:r w:rsidRPr="001B32F4">
              <w:rPr>
                <w:rFonts w:asciiTheme="minorBidi" w:hAnsiTheme="minorBidi" w:cstheme="minorBidi"/>
                <w:color w:val="000000"/>
                <w:sz w:val="20"/>
                <w:szCs w:val="20"/>
              </w:rPr>
              <w:t xml:space="preserve">Medical students (MS) were 2.7 times more likely than </w:t>
            </w:r>
            <w:r w:rsidRPr="001B32F4">
              <w:rPr>
                <w:rFonts w:asciiTheme="minorBidi" w:hAnsiTheme="minorBidi" w:cstheme="minorBidi"/>
                <w:color w:val="000000"/>
                <w:sz w:val="20"/>
                <w:szCs w:val="20"/>
              </w:rPr>
              <w:lastRenderedPageBreak/>
              <w:t>dental students (DS) to receive the vaccine (odds ratio, 2.74; 95% CI, 1.76 to 4.31; p-value &lt; .0001). </w:t>
            </w:r>
          </w:p>
          <w:p w:rsidR="007C0FF6" w:rsidRPr="001B32F4" w:rsidRDefault="007C0FF6" w:rsidP="001B32F4">
            <w:pPr>
              <w:pStyle w:val="NormalWeb"/>
              <w:numPr>
                <w:ilvl w:val="0"/>
                <w:numId w:val="23"/>
              </w:numPr>
              <w:spacing w:before="0" w:beforeAutospacing="0" w:after="160" w:afterAutospacing="0"/>
              <w:ind w:left="292" w:hanging="283"/>
              <w:rPr>
                <w:rFonts w:asciiTheme="minorBidi" w:hAnsiTheme="minorBidi" w:cstheme="minorBidi"/>
                <w:sz w:val="20"/>
                <w:szCs w:val="20"/>
              </w:rPr>
            </w:pPr>
            <w:r w:rsidRPr="001B32F4">
              <w:rPr>
                <w:rFonts w:asciiTheme="minorBidi" w:hAnsiTheme="minorBidi" w:cstheme="minorBidi"/>
                <w:color w:val="000000"/>
                <w:sz w:val="20"/>
                <w:szCs w:val="20"/>
              </w:rPr>
              <w:t>MS were more likely to agree with mandates and trust information about the vaccines.</w:t>
            </w:r>
          </w:p>
          <w:p w:rsidR="00EF2C14" w:rsidRPr="001B32F4" w:rsidRDefault="007C0FF6" w:rsidP="001B32F4">
            <w:pPr>
              <w:pStyle w:val="NormalWeb"/>
              <w:numPr>
                <w:ilvl w:val="0"/>
                <w:numId w:val="23"/>
              </w:numPr>
              <w:spacing w:before="0" w:beforeAutospacing="0" w:after="160" w:afterAutospacing="0"/>
              <w:ind w:left="292" w:hanging="283"/>
              <w:rPr>
                <w:rFonts w:asciiTheme="minorBidi" w:hAnsiTheme="minorBidi" w:cstheme="minorBidi"/>
                <w:sz w:val="20"/>
                <w:szCs w:val="20"/>
                <w:lang w:val="en-US"/>
              </w:rPr>
            </w:pPr>
            <w:r w:rsidRPr="001B32F4">
              <w:rPr>
                <w:rFonts w:asciiTheme="minorBidi" w:hAnsiTheme="minorBidi" w:cstheme="minorBidi"/>
                <w:color w:val="000000"/>
                <w:sz w:val="20"/>
                <w:szCs w:val="20"/>
              </w:rPr>
              <w:t xml:space="preserve">After controlling for demographic variables, experience with COVID-19, and personal vaccination </w:t>
            </w:r>
            <w:proofErr w:type="spellStart"/>
            <w:r w:rsidRPr="001B32F4">
              <w:rPr>
                <w:rFonts w:asciiTheme="minorBidi" w:hAnsiTheme="minorBidi" w:cstheme="minorBidi"/>
                <w:color w:val="000000"/>
                <w:sz w:val="20"/>
                <w:szCs w:val="20"/>
              </w:rPr>
              <w:t>behaviors</w:t>
            </w:r>
            <w:proofErr w:type="spellEnd"/>
            <w:r w:rsidRPr="001B32F4">
              <w:rPr>
                <w:rFonts w:asciiTheme="minorBidi" w:hAnsiTheme="minorBidi" w:cstheme="minorBidi"/>
                <w:color w:val="000000"/>
                <w:sz w:val="20"/>
                <w:szCs w:val="20"/>
              </w:rPr>
              <w:t>, those who thought the COVID-19 vaccine was important to them as health care professionals, trusted COVID-19 information received from public health experts, and thought the COVID-19 vaccination should be mandatory for the general public were statistically significantly more likely to report willingness to get the COVID-19 vaccine (p-value &lt; .01).</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Klüver</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1"/>
              </w:numPr>
              <w:ind w:left="249" w:hanging="249"/>
              <w:rPr>
                <w:rFonts w:asciiTheme="minorBidi" w:hAnsiTheme="minorBidi"/>
                <w:sz w:val="20"/>
                <w:szCs w:val="20"/>
                <w:lang w:val="en-US"/>
              </w:rPr>
            </w:pPr>
            <w:r w:rsidRPr="001B32F4">
              <w:rPr>
                <w:rFonts w:asciiTheme="minorBidi" w:hAnsiTheme="minorBidi"/>
                <w:sz w:val="20"/>
                <w:szCs w:val="20"/>
                <w:lang w:val="en-US"/>
              </w:rPr>
              <w:t>Among all participants, the lowest treatment effect was found in low financial incentive (1 p.p.) followed by higher financial incentives (2.2 p.p.), additional freedoms (2.5 p.p.), vaccinations at the local doctor (3 p.p.).</w:t>
            </w:r>
          </w:p>
          <w:p w:rsidR="00EF2C14" w:rsidRPr="001B32F4" w:rsidRDefault="00EF2C14" w:rsidP="001B32F4">
            <w:pPr>
              <w:pStyle w:val="ListParagraph"/>
              <w:numPr>
                <w:ilvl w:val="0"/>
                <w:numId w:val="11"/>
              </w:numPr>
              <w:ind w:left="249" w:hanging="249"/>
              <w:rPr>
                <w:rFonts w:asciiTheme="minorBidi" w:hAnsiTheme="minorBidi"/>
                <w:sz w:val="20"/>
                <w:szCs w:val="20"/>
                <w:lang w:val="en-US"/>
              </w:rPr>
            </w:pPr>
            <w:r w:rsidRPr="001B32F4">
              <w:rPr>
                <w:rFonts w:asciiTheme="minorBidi" w:hAnsiTheme="minorBidi"/>
                <w:sz w:val="20"/>
                <w:szCs w:val="20"/>
                <w:lang w:val="en-US"/>
              </w:rPr>
              <w:t>Combination of incentives increased vaccine acceptance up to 13 p.p. from a baseline of 40% among undecided participants.</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bidi="he-IL"/>
              </w:rPr>
              <w:t>Kuznetsova et al. (202)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7C0FF6" w:rsidRPr="001B32F4" w:rsidRDefault="007C0FF6" w:rsidP="001B32F4">
            <w:pPr>
              <w:pStyle w:val="NormalWeb"/>
              <w:numPr>
                <w:ilvl w:val="0"/>
                <w:numId w:val="24"/>
              </w:numPr>
              <w:spacing w:before="0" w:beforeAutospacing="0" w:after="160" w:afterAutospacing="0"/>
              <w:ind w:left="352" w:hanging="283"/>
              <w:rPr>
                <w:rFonts w:asciiTheme="minorBidi" w:hAnsiTheme="minorBidi" w:cstheme="minorBidi"/>
                <w:sz w:val="20"/>
                <w:szCs w:val="20"/>
              </w:rPr>
            </w:pPr>
            <w:r w:rsidRPr="001B32F4">
              <w:rPr>
                <w:rFonts w:asciiTheme="minorBidi" w:hAnsiTheme="minorBidi" w:cstheme="minorBidi"/>
                <w:color w:val="000000"/>
                <w:sz w:val="20"/>
                <w:szCs w:val="20"/>
              </w:rPr>
              <w:t xml:space="preserve">The introduction of COVID-19 certificates was associated with a </w:t>
            </w:r>
            <w:r w:rsidRPr="001B32F4">
              <w:rPr>
                <w:rFonts w:asciiTheme="minorBidi" w:hAnsiTheme="minorBidi" w:cstheme="minorBidi"/>
                <w:color w:val="000000"/>
                <w:sz w:val="20"/>
                <w:szCs w:val="20"/>
              </w:rPr>
              <w:lastRenderedPageBreak/>
              <w:t>significant immediate or gradual increase in daily administered vaccine doses in all the countries included in the study, up to 117,617 doses gained per million per month. </w:t>
            </w:r>
          </w:p>
          <w:p w:rsidR="00EF2C14" w:rsidRPr="001B32F4" w:rsidRDefault="007C0FF6" w:rsidP="001B32F4">
            <w:pPr>
              <w:pStyle w:val="NormalWeb"/>
              <w:numPr>
                <w:ilvl w:val="0"/>
                <w:numId w:val="24"/>
              </w:numPr>
              <w:spacing w:before="0" w:beforeAutospacing="0" w:after="160" w:afterAutospacing="0"/>
              <w:ind w:left="352" w:hanging="283"/>
              <w:rPr>
                <w:rFonts w:asciiTheme="minorBidi" w:hAnsiTheme="minorBidi" w:cstheme="minorBidi"/>
                <w:sz w:val="20"/>
                <w:szCs w:val="20"/>
                <w:lang w:val="en-US"/>
              </w:rPr>
            </w:pPr>
            <w:r w:rsidRPr="001B32F4">
              <w:rPr>
                <w:rFonts w:asciiTheme="minorBidi" w:hAnsiTheme="minorBidi" w:cstheme="minorBidi"/>
                <w:color w:val="000000"/>
                <w:sz w:val="20"/>
                <w:szCs w:val="20"/>
              </w:rPr>
              <w:t>The effect of mandatory vaccination for all or some groups of the population varied from a continuous decrease in daily administered doses (332 per million capita per day), no significant effect, or a delayed or temporary increase (1489 per million capita per day).</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Ledda</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7C0FF6" w:rsidRPr="001B32F4" w:rsidRDefault="007C0FF6" w:rsidP="001B32F4">
            <w:pPr>
              <w:pStyle w:val="NormalWeb"/>
              <w:numPr>
                <w:ilvl w:val="0"/>
                <w:numId w:val="25"/>
              </w:numPr>
              <w:spacing w:before="0" w:beforeAutospacing="0" w:after="160" w:afterAutospacing="0"/>
              <w:ind w:left="359" w:hanging="281"/>
              <w:rPr>
                <w:rFonts w:asciiTheme="minorBidi" w:hAnsiTheme="minorBidi" w:cstheme="minorBidi"/>
                <w:sz w:val="20"/>
                <w:szCs w:val="20"/>
              </w:rPr>
            </w:pPr>
            <w:r w:rsidRPr="001B32F4">
              <w:rPr>
                <w:rFonts w:asciiTheme="minorBidi" w:hAnsiTheme="minorBidi" w:cstheme="minorBidi"/>
                <w:color w:val="000000"/>
                <w:sz w:val="20"/>
                <w:szCs w:val="20"/>
              </w:rPr>
              <w:t xml:space="preserve">Higher rates of acceptance of mandatory vaccinations for healthcare professionals were expressed for </w:t>
            </w:r>
            <w:r w:rsidR="00A53FE9" w:rsidRPr="001B32F4">
              <w:rPr>
                <w:rFonts w:asciiTheme="minorBidi" w:hAnsiTheme="minorBidi" w:cstheme="minorBidi"/>
                <w:color w:val="000000"/>
                <w:sz w:val="20"/>
                <w:szCs w:val="20"/>
              </w:rPr>
              <w:t>those</w:t>
            </w:r>
            <w:r w:rsidRPr="001B32F4">
              <w:rPr>
                <w:rFonts w:asciiTheme="minorBidi" w:hAnsiTheme="minorBidi" w:cstheme="minorBidi"/>
                <w:color w:val="000000"/>
                <w:sz w:val="20"/>
                <w:szCs w:val="20"/>
              </w:rPr>
              <w:t xml:space="preserve"> caring for immunocompromised patients.</w:t>
            </w:r>
          </w:p>
          <w:p w:rsidR="00EF2C14" w:rsidRPr="001B32F4" w:rsidRDefault="007C0FF6" w:rsidP="001B32F4">
            <w:pPr>
              <w:pStyle w:val="NormalWeb"/>
              <w:numPr>
                <w:ilvl w:val="0"/>
                <w:numId w:val="25"/>
              </w:numPr>
              <w:spacing w:before="0" w:beforeAutospacing="0" w:after="160" w:afterAutospacing="0"/>
              <w:ind w:left="359" w:hanging="281"/>
              <w:rPr>
                <w:rFonts w:asciiTheme="minorBidi" w:hAnsiTheme="minorBidi" w:cstheme="minorBidi"/>
                <w:sz w:val="20"/>
                <w:szCs w:val="20"/>
                <w:lang w:val="en-US"/>
              </w:rPr>
            </w:pPr>
            <w:r w:rsidRPr="001B32F4">
              <w:rPr>
                <w:rFonts w:asciiTheme="minorBidi" w:hAnsiTheme="minorBidi" w:cstheme="minorBidi"/>
                <w:color w:val="000000"/>
                <w:sz w:val="20"/>
                <w:szCs w:val="20"/>
              </w:rPr>
              <w:t>There is a statistically significant difference for gender, profession, and education in the intention to get a COVID-19 vaccine</w:t>
            </w:r>
            <w:r w:rsidR="00A53FE9" w:rsidRPr="001B32F4">
              <w:rPr>
                <w:rFonts w:asciiTheme="minorBidi" w:hAnsiTheme="minorBidi" w:cstheme="minorBidi"/>
                <w:color w:val="000000"/>
                <w:sz w:val="20"/>
                <w:szCs w:val="20"/>
              </w:rPr>
              <w:t>.</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Maltezou</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5642BB" w:rsidRPr="001B32F4" w:rsidRDefault="005642BB" w:rsidP="001B32F4">
            <w:pPr>
              <w:pStyle w:val="NormalWeb"/>
              <w:numPr>
                <w:ilvl w:val="0"/>
                <w:numId w:val="26"/>
              </w:numPr>
              <w:spacing w:before="0" w:beforeAutospacing="0" w:after="160" w:afterAutospacing="0"/>
              <w:ind w:left="321" w:hanging="284"/>
              <w:rPr>
                <w:rFonts w:asciiTheme="minorBidi" w:hAnsiTheme="minorBidi" w:cstheme="minorBidi"/>
                <w:sz w:val="20"/>
                <w:szCs w:val="20"/>
              </w:rPr>
            </w:pPr>
            <w:r w:rsidRPr="001B32F4">
              <w:rPr>
                <w:rFonts w:asciiTheme="minorBidi" w:hAnsiTheme="minorBidi" w:cstheme="minorBidi"/>
                <w:color w:val="000000"/>
                <w:sz w:val="20"/>
                <w:szCs w:val="20"/>
              </w:rPr>
              <w:t xml:space="preserve">Around 776 participants (49.8%) </w:t>
            </w:r>
            <w:proofErr w:type="spellStart"/>
            <w:r w:rsidRPr="001B32F4">
              <w:rPr>
                <w:rFonts w:asciiTheme="minorBidi" w:hAnsiTheme="minorBidi" w:cstheme="minorBidi"/>
                <w:color w:val="000000"/>
                <w:sz w:val="20"/>
                <w:szCs w:val="20"/>
              </w:rPr>
              <w:t>favored</w:t>
            </w:r>
            <w:proofErr w:type="spellEnd"/>
            <w:r w:rsidRPr="001B32F4">
              <w:rPr>
                <w:rFonts w:asciiTheme="minorBidi" w:hAnsiTheme="minorBidi" w:cstheme="minorBidi"/>
                <w:color w:val="000000"/>
                <w:sz w:val="20"/>
                <w:szCs w:val="20"/>
              </w:rPr>
              <w:t xml:space="preserve"> mandatory vaccinations policies.</w:t>
            </w:r>
          </w:p>
          <w:p w:rsidR="00EF2C14" w:rsidRPr="001B32F4" w:rsidRDefault="005642BB" w:rsidP="001B32F4">
            <w:pPr>
              <w:pStyle w:val="NormalWeb"/>
              <w:numPr>
                <w:ilvl w:val="0"/>
                <w:numId w:val="26"/>
              </w:numPr>
              <w:spacing w:before="0" w:beforeAutospacing="0" w:after="160" w:afterAutospacing="0"/>
              <w:ind w:left="321" w:hanging="284"/>
              <w:rPr>
                <w:rFonts w:asciiTheme="minorBidi" w:hAnsiTheme="minorBidi" w:cstheme="minorBidi"/>
                <w:sz w:val="20"/>
                <w:szCs w:val="20"/>
                <w:lang w:val="en-US"/>
              </w:rPr>
            </w:pPr>
            <w:r w:rsidRPr="001B32F4">
              <w:rPr>
                <w:rFonts w:asciiTheme="minorBidi" w:hAnsiTheme="minorBidi" w:cstheme="minorBidi"/>
                <w:color w:val="000000"/>
                <w:sz w:val="20"/>
                <w:szCs w:val="20"/>
              </w:rPr>
              <w:t xml:space="preserve">Male gender, being a physician, being completely vaccinated against hepatitis B, have been vaccinated against pandemic A (H1N1) in 2009-2010, belief that COVID-19 </w:t>
            </w:r>
            <w:r w:rsidRPr="001B32F4">
              <w:rPr>
                <w:rFonts w:asciiTheme="minorBidi" w:hAnsiTheme="minorBidi" w:cstheme="minorBidi"/>
                <w:color w:val="000000"/>
                <w:sz w:val="20"/>
                <w:szCs w:val="20"/>
              </w:rPr>
              <w:lastRenderedPageBreak/>
              <w:t>vaccination should be mandatory for HCP, and increased confidence in vaccines in general during the ongoing COVID-19 pandemic were positively associated with intention to get vaccinated.</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bidi="he-IL"/>
              </w:rPr>
            </w:pPr>
            <w:bookmarkStart w:id="0" w:name="_GoBack"/>
            <w:bookmarkEnd w:id="0"/>
            <w:r w:rsidRPr="001B32F4">
              <w:rPr>
                <w:rFonts w:asciiTheme="minorBidi" w:hAnsiTheme="minorBidi"/>
                <w:sz w:val="20"/>
                <w:szCs w:val="20"/>
                <w:lang w:bidi="he-IL"/>
              </w:rPr>
              <w:t>McGarry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7058B7" w:rsidP="001B32F4">
            <w:pPr>
              <w:pStyle w:val="ListParagraph"/>
              <w:numPr>
                <w:ilvl w:val="0"/>
                <w:numId w:val="12"/>
              </w:numPr>
              <w:ind w:left="249" w:hanging="249"/>
              <w:rPr>
                <w:rFonts w:asciiTheme="minorBidi" w:hAnsiTheme="minorBidi"/>
                <w:sz w:val="20"/>
                <w:szCs w:val="20"/>
                <w:lang w:val="en-US"/>
              </w:rPr>
            </w:pPr>
            <w:r w:rsidRPr="001B32F4">
              <w:rPr>
                <w:rFonts w:asciiTheme="minorBidi" w:hAnsiTheme="minorBidi"/>
                <w:color w:val="000000"/>
                <w:sz w:val="20"/>
                <w:szCs w:val="20"/>
              </w:rPr>
              <w:t>Mean staff vaccine coverage was estimated to increase by 5.4 percentage points (95% CI 1.1-9.8) in mandate states without a test-out option and 2.2 percentage points (95% CI 0.8-3.5) in mandate states with a test-out option following mandate announcement.</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 xml:space="preserve">Mills and </w:t>
            </w:r>
            <w:proofErr w:type="spellStart"/>
            <w:r w:rsidRPr="001B32F4">
              <w:rPr>
                <w:rFonts w:asciiTheme="minorBidi" w:hAnsiTheme="minorBidi"/>
                <w:sz w:val="20"/>
                <w:szCs w:val="20"/>
                <w:lang w:val="en-US"/>
              </w:rPr>
              <w:t>Rüttenauer</w:t>
            </w:r>
            <w:proofErr w:type="spellEnd"/>
            <w:r w:rsidRPr="001B32F4">
              <w:rPr>
                <w:rFonts w:asciiTheme="minorBidi" w:hAnsiTheme="minorBidi"/>
                <w:sz w:val="20"/>
                <w:szCs w:val="20"/>
                <w:lang w:val="en-US"/>
              </w:rPr>
              <w:t xml:space="preserve">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2"/>
              </w:numPr>
              <w:ind w:left="249" w:hanging="249"/>
              <w:rPr>
                <w:rFonts w:asciiTheme="minorBidi" w:hAnsiTheme="minorBidi"/>
                <w:sz w:val="20"/>
                <w:szCs w:val="20"/>
                <w:lang w:val="en-US"/>
              </w:rPr>
            </w:pPr>
            <w:r w:rsidRPr="001B32F4">
              <w:rPr>
                <w:rFonts w:asciiTheme="minorBidi" w:hAnsiTheme="minorBidi"/>
                <w:sz w:val="20"/>
                <w:szCs w:val="20"/>
                <w:lang w:val="en-US"/>
              </w:rPr>
              <w:t>COVID-19 certification led to increased vaccinations 20 days before implementation in anticipation, with a lasting effect up to 40 days after.</w:t>
            </w:r>
          </w:p>
          <w:p w:rsidR="00EF2C14" w:rsidRPr="001B32F4" w:rsidRDefault="00EF2C14" w:rsidP="001B32F4">
            <w:pPr>
              <w:pStyle w:val="ListParagraph"/>
              <w:numPr>
                <w:ilvl w:val="0"/>
                <w:numId w:val="12"/>
              </w:numPr>
              <w:ind w:left="249" w:hanging="249"/>
              <w:rPr>
                <w:rFonts w:asciiTheme="minorBidi" w:hAnsiTheme="minorBidi"/>
                <w:sz w:val="20"/>
                <w:szCs w:val="20"/>
                <w:lang w:val="en-US"/>
              </w:rPr>
            </w:pPr>
            <w:r w:rsidRPr="001B32F4">
              <w:rPr>
                <w:rFonts w:asciiTheme="minorBidi" w:hAnsiTheme="minorBidi"/>
                <w:sz w:val="20"/>
                <w:szCs w:val="20"/>
                <w:lang w:val="en-US"/>
              </w:rPr>
              <w:t>Countries with below average pre-intervention uptake had a more pronounced increase in daily vaccinations compared to those with average or high uptake (for example in France, the vaccine uptake was increased from 3,761,440 (95% CI [3,355,761-–4,979,952]) doses before mandatory certification to 4,874,857 (95% CI [2,563,396–-7,711,769]) doses after certification.</w:t>
            </w:r>
          </w:p>
          <w:p w:rsidR="00EF2C14" w:rsidRPr="001B32F4" w:rsidRDefault="00EF2C14" w:rsidP="001B32F4">
            <w:pPr>
              <w:pStyle w:val="ListParagraph"/>
              <w:numPr>
                <w:ilvl w:val="0"/>
                <w:numId w:val="12"/>
              </w:numPr>
              <w:ind w:left="249" w:hanging="249"/>
              <w:rPr>
                <w:rFonts w:asciiTheme="minorBidi" w:hAnsiTheme="minorBidi"/>
                <w:sz w:val="20"/>
                <w:szCs w:val="20"/>
                <w:lang w:val="en-US"/>
              </w:rPr>
            </w:pPr>
            <w:r w:rsidRPr="001B32F4">
              <w:rPr>
                <w:rFonts w:asciiTheme="minorBidi" w:hAnsiTheme="minorBidi"/>
                <w:sz w:val="20"/>
                <w:szCs w:val="20"/>
                <w:lang w:val="en-US"/>
              </w:rPr>
              <w:t xml:space="preserve">Increase in uptake was highest for people younger than 30 years after the introduction of certification (up to 10,000 daily doses </w:t>
            </w:r>
            <w:r w:rsidRPr="001B32F4">
              <w:rPr>
                <w:rFonts w:asciiTheme="minorBidi" w:hAnsiTheme="minorBidi"/>
                <w:sz w:val="20"/>
                <w:szCs w:val="20"/>
                <w:lang w:val="en-US"/>
              </w:rPr>
              <w:lastRenderedPageBreak/>
              <w:t>per million population).</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Moccia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Around 85.4% of the respondents stated that “Getting vaccinated is the only way to return to our life, to normal” and 4.9% stated “Vaccinating is the only way to get the Green Pass”.</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Mouter</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All respondents had a positive preference for the vaccination passport policies and a negative preference for the “mandatory testing at own cost if does not get vaccinated” or the “pay EUR 250 if does not get vaccinated” policies.</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Mustapha et al. (2021)</w:t>
            </w:r>
          </w:p>
        </w:tc>
        <w:tc>
          <w:tcPr>
            <w:tcW w:w="1775" w:type="dxa"/>
          </w:tcPr>
          <w:p w:rsidR="00EF2C14" w:rsidRPr="001B32F4" w:rsidRDefault="00EF2C14" w:rsidP="001B32F4">
            <w:pPr>
              <w:pStyle w:val="ListParagraph"/>
              <w:ind w:left="317"/>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7058B7" w:rsidRPr="001B32F4" w:rsidRDefault="007058B7" w:rsidP="001B32F4">
            <w:pPr>
              <w:pStyle w:val="NormalWeb"/>
              <w:numPr>
                <w:ilvl w:val="0"/>
                <w:numId w:val="28"/>
              </w:numPr>
              <w:spacing w:before="0" w:beforeAutospacing="0" w:after="160" w:afterAutospacing="0"/>
              <w:ind w:left="275" w:hanging="275"/>
              <w:rPr>
                <w:rFonts w:asciiTheme="minorBidi" w:hAnsiTheme="minorBidi" w:cstheme="minorBidi"/>
                <w:sz w:val="20"/>
                <w:szCs w:val="20"/>
              </w:rPr>
            </w:pPr>
            <w:r w:rsidRPr="001B32F4">
              <w:rPr>
                <w:rFonts w:asciiTheme="minorBidi" w:hAnsiTheme="minorBidi" w:cstheme="minorBidi"/>
                <w:color w:val="000000"/>
                <w:sz w:val="20"/>
                <w:szCs w:val="20"/>
              </w:rPr>
              <w:t>Around 52.3% of the respondents were willing to take the vaccine if mandated by their institution heads. </w:t>
            </w:r>
          </w:p>
          <w:p w:rsidR="00EF2C14" w:rsidRPr="001B32F4" w:rsidRDefault="007058B7" w:rsidP="001B32F4">
            <w:pPr>
              <w:pStyle w:val="NormalWeb"/>
              <w:numPr>
                <w:ilvl w:val="0"/>
                <w:numId w:val="28"/>
              </w:numPr>
              <w:spacing w:before="0" w:beforeAutospacing="0" w:after="160" w:afterAutospacing="0"/>
              <w:ind w:left="275" w:hanging="275"/>
              <w:rPr>
                <w:rFonts w:asciiTheme="minorBidi" w:hAnsiTheme="minorBidi" w:cstheme="minorBidi"/>
                <w:sz w:val="20"/>
                <w:szCs w:val="20"/>
                <w:lang w:val="en-US"/>
              </w:rPr>
            </w:pPr>
            <w:r w:rsidRPr="001B32F4">
              <w:rPr>
                <w:rFonts w:asciiTheme="minorBidi" w:hAnsiTheme="minorBidi" w:cstheme="minorBidi"/>
                <w:color w:val="000000"/>
                <w:sz w:val="20"/>
                <w:szCs w:val="20"/>
              </w:rPr>
              <w:t>Older age, mandate by heads of the institution, trust in the government and readiness to pay for the vaccine were associated with acceptance of the vaccine</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Okamoto et al. (2022)</w:t>
            </w:r>
          </w:p>
        </w:tc>
        <w:tc>
          <w:tcPr>
            <w:tcW w:w="1775" w:type="dxa"/>
          </w:tcPr>
          <w:p w:rsidR="00EF2C14" w:rsidRPr="001B32F4" w:rsidRDefault="00EF2C14" w:rsidP="001B32F4">
            <w:pPr>
              <w:pStyle w:val="ListParagraph"/>
              <w:ind w:left="317"/>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6D65D6" w:rsidRPr="001B32F4" w:rsidRDefault="006D65D6" w:rsidP="001B32F4">
            <w:pPr>
              <w:pStyle w:val="ListParagraph"/>
              <w:numPr>
                <w:ilvl w:val="0"/>
                <w:numId w:val="13"/>
              </w:numPr>
              <w:ind w:left="249" w:hanging="249"/>
              <w:rPr>
                <w:rFonts w:asciiTheme="minorBidi" w:hAnsiTheme="minorBidi"/>
                <w:sz w:val="20"/>
                <w:szCs w:val="20"/>
                <w:lang w:val="en-US"/>
              </w:rPr>
            </w:pPr>
            <w:r w:rsidRPr="001B32F4">
              <w:rPr>
                <w:rFonts w:asciiTheme="minorBidi" w:hAnsiTheme="minorBidi"/>
                <w:color w:val="000000"/>
                <w:sz w:val="20"/>
                <w:szCs w:val="20"/>
              </w:rPr>
              <w:t>Around 45% of all the vaccine- hesitant respondents intended to accept vaccination when all public health restrictions were relaxed, while 18% intended to do so if no restrictions were relaxed.</w:t>
            </w:r>
          </w:p>
          <w:p w:rsidR="00EF2C14" w:rsidRPr="001B32F4" w:rsidRDefault="006D65D6" w:rsidP="001B32F4">
            <w:pPr>
              <w:pStyle w:val="ListParagraph"/>
              <w:numPr>
                <w:ilvl w:val="0"/>
                <w:numId w:val="13"/>
              </w:numPr>
              <w:ind w:left="249" w:hanging="249"/>
              <w:rPr>
                <w:rFonts w:asciiTheme="minorBidi" w:hAnsiTheme="minorBidi"/>
                <w:sz w:val="20"/>
                <w:szCs w:val="20"/>
                <w:lang w:val="en-US"/>
              </w:rPr>
            </w:pPr>
            <w:r w:rsidRPr="001B32F4">
              <w:rPr>
                <w:rFonts w:asciiTheme="minorBidi" w:hAnsiTheme="minorBidi"/>
                <w:color w:val="000000"/>
                <w:sz w:val="20"/>
                <w:szCs w:val="20"/>
              </w:rPr>
              <w:t>Vaccine passports, which allow citizens freedom in their daily lives, could increase vaccine acceptance when they are imposed with public health restrictions due to the COVID-19 pandemic, particularly for younger people.</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Oliu</w:t>
            </w:r>
            <w:proofErr w:type="spellEnd"/>
            <w:r w:rsidRPr="001B32F4">
              <w:rPr>
                <w:rFonts w:asciiTheme="minorBidi" w:hAnsiTheme="minorBidi"/>
                <w:sz w:val="20"/>
                <w:szCs w:val="20"/>
                <w:lang w:val="en-US"/>
              </w:rPr>
              <w:t>-Barton et al. (2022)</w:t>
            </w:r>
          </w:p>
        </w:tc>
        <w:tc>
          <w:tcPr>
            <w:tcW w:w="1775" w:type="dxa"/>
          </w:tcPr>
          <w:p w:rsidR="00EF2C14" w:rsidRPr="001B32F4" w:rsidRDefault="00EF2C14" w:rsidP="001B32F4">
            <w:pPr>
              <w:pStyle w:val="ListParagraph"/>
              <w:numPr>
                <w:ilvl w:val="0"/>
                <w:numId w:val="13"/>
              </w:numPr>
              <w:ind w:left="317" w:hanging="317"/>
              <w:rPr>
                <w:rFonts w:asciiTheme="minorBidi" w:hAnsiTheme="minorBidi"/>
                <w:sz w:val="20"/>
                <w:szCs w:val="20"/>
                <w:lang w:val="en-US"/>
              </w:rPr>
            </w:pPr>
            <w:r w:rsidRPr="001B32F4">
              <w:rPr>
                <w:rFonts w:asciiTheme="minorBidi" w:hAnsiTheme="minorBidi"/>
                <w:sz w:val="20"/>
                <w:szCs w:val="20"/>
                <w:lang w:val="en-US"/>
              </w:rPr>
              <w:t xml:space="preserve">The expected number of </w:t>
            </w:r>
            <w:r w:rsidRPr="001B32F4">
              <w:rPr>
                <w:rFonts w:asciiTheme="minorBidi" w:hAnsiTheme="minorBidi"/>
                <w:sz w:val="20"/>
                <w:szCs w:val="20"/>
                <w:lang w:val="en-US"/>
              </w:rPr>
              <w:lastRenderedPageBreak/>
              <w:t>hospital admissions without COVID-19 pass would have been 31.3% higher in France, 5.0% higher in Germany, and 15.5% higher in Italy.</w:t>
            </w:r>
          </w:p>
          <w:p w:rsidR="00EF2C14" w:rsidRPr="001B32F4" w:rsidRDefault="00EF2C14" w:rsidP="001B32F4">
            <w:pPr>
              <w:pStyle w:val="ListParagraph"/>
              <w:numPr>
                <w:ilvl w:val="0"/>
                <w:numId w:val="13"/>
              </w:numPr>
              <w:ind w:left="317" w:hanging="317"/>
              <w:rPr>
                <w:rFonts w:asciiTheme="minorBidi" w:hAnsiTheme="minorBidi"/>
                <w:sz w:val="20"/>
                <w:szCs w:val="20"/>
                <w:lang w:val="en-US"/>
              </w:rPr>
            </w:pPr>
            <w:r w:rsidRPr="001B32F4">
              <w:rPr>
                <w:rFonts w:asciiTheme="minorBidi" w:hAnsiTheme="minorBidi"/>
                <w:sz w:val="20"/>
                <w:szCs w:val="20"/>
                <w:lang w:val="en-US"/>
              </w:rPr>
              <w:t>The expected number of deaths would have been 31.7% higher in France, 5.6% higher in Germany, and 14.0% higher in Italy.</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3"/>
              </w:numPr>
              <w:ind w:left="249" w:hanging="249"/>
              <w:rPr>
                <w:rFonts w:asciiTheme="minorBidi" w:hAnsiTheme="minorBidi"/>
                <w:sz w:val="20"/>
                <w:szCs w:val="20"/>
                <w:lang w:val="en-US"/>
              </w:rPr>
            </w:pPr>
            <w:r w:rsidRPr="001B32F4">
              <w:rPr>
                <w:rFonts w:asciiTheme="minorBidi" w:hAnsiTheme="minorBidi"/>
                <w:sz w:val="20"/>
                <w:szCs w:val="20"/>
                <w:lang w:val="en-US"/>
              </w:rPr>
              <w:t xml:space="preserve">The announcement of COVID certificates </w:t>
            </w:r>
            <w:r w:rsidRPr="001B32F4">
              <w:rPr>
                <w:rFonts w:asciiTheme="minorBidi" w:hAnsiTheme="minorBidi"/>
                <w:sz w:val="20"/>
                <w:szCs w:val="20"/>
                <w:lang w:val="en-US"/>
              </w:rPr>
              <w:lastRenderedPageBreak/>
              <w:t>during summer 2021 were associated with increased vaccine uptake in France (13.0 p.p., 95% CI [9.7–14.9)), Germany (6.2 p.p. 95% CI [2.6–6.9]), and Italy (9.7 p.p., 95% CI [5.4–12.3]).</w:t>
            </w:r>
          </w:p>
          <w:p w:rsidR="00EF2C14" w:rsidRPr="001B32F4" w:rsidRDefault="00EF2C14" w:rsidP="001B32F4">
            <w:pPr>
              <w:pStyle w:val="ListParagraph"/>
              <w:numPr>
                <w:ilvl w:val="0"/>
                <w:numId w:val="13"/>
              </w:numPr>
              <w:ind w:left="249" w:hanging="249"/>
              <w:rPr>
                <w:rFonts w:asciiTheme="minorBidi" w:hAnsiTheme="minorBidi"/>
                <w:sz w:val="20"/>
                <w:szCs w:val="20"/>
                <w:lang w:val="en-US"/>
              </w:rPr>
            </w:pPr>
            <w:r w:rsidRPr="001B32F4">
              <w:rPr>
                <w:rFonts w:asciiTheme="minorBidi" w:hAnsiTheme="minorBidi"/>
                <w:sz w:val="20"/>
                <w:szCs w:val="20"/>
                <w:lang w:val="en-US"/>
              </w:rPr>
              <w:t>Gross domestic product (GDP) losses of EUR 6.0 billion in France, EUR1.4 billion in Germany, and EUR 2.1 billion in Italy could be prevented.</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nl-BE"/>
              </w:rPr>
            </w:pPr>
            <w:proofErr w:type="spellStart"/>
            <w:r w:rsidRPr="001B32F4">
              <w:rPr>
                <w:rFonts w:asciiTheme="minorBidi" w:hAnsiTheme="minorBidi"/>
                <w:sz w:val="20"/>
                <w:szCs w:val="20"/>
                <w:lang w:val="nl-BE"/>
              </w:rPr>
              <w:t>Peruch</w:t>
            </w:r>
            <w:proofErr w:type="spellEnd"/>
            <w:r w:rsidRPr="001B32F4">
              <w:rPr>
                <w:rFonts w:asciiTheme="minorBidi" w:hAnsiTheme="minorBidi"/>
                <w:sz w:val="20"/>
                <w:szCs w:val="20"/>
                <w:lang w:val="nl-BE"/>
              </w:rPr>
              <w:t xml:space="preserve"> et al. (2022)</w:t>
            </w:r>
          </w:p>
        </w:tc>
        <w:tc>
          <w:tcPr>
            <w:tcW w:w="1775" w:type="dxa"/>
          </w:tcPr>
          <w:p w:rsidR="00EF2C14" w:rsidRPr="001B32F4" w:rsidRDefault="00EF2C14" w:rsidP="001B32F4">
            <w:pPr>
              <w:rPr>
                <w:rFonts w:asciiTheme="minorBidi" w:hAnsiTheme="minorBidi"/>
                <w:sz w:val="20"/>
                <w:szCs w:val="20"/>
                <w:lang w:val="nl-BE"/>
              </w:rPr>
            </w:pPr>
          </w:p>
        </w:tc>
        <w:tc>
          <w:tcPr>
            <w:tcW w:w="1675" w:type="dxa"/>
          </w:tcPr>
          <w:p w:rsidR="00EF2C14" w:rsidRPr="001B32F4" w:rsidRDefault="00EF2C14" w:rsidP="001B32F4">
            <w:pPr>
              <w:rPr>
                <w:rFonts w:asciiTheme="minorBidi" w:hAnsiTheme="minorBidi"/>
                <w:sz w:val="20"/>
                <w:szCs w:val="20"/>
                <w:lang w:val="nl-BE"/>
              </w:rPr>
            </w:pPr>
          </w:p>
        </w:tc>
        <w:tc>
          <w:tcPr>
            <w:tcW w:w="2577" w:type="dxa"/>
          </w:tcPr>
          <w:p w:rsidR="006D65D6" w:rsidRPr="001B32F4" w:rsidRDefault="006D65D6" w:rsidP="001B32F4">
            <w:pPr>
              <w:pStyle w:val="NormalWeb"/>
              <w:numPr>
                <w:ilvl w:val="0"/>
                <w:numId w:val="29"/>
              </w:numPr>
              <w:spacing w:before="0" w:beforeAutospacing="0" w:after="160" w:afterAutospacing="0"/>
              <w:ind w:left="275" w:hanging="275"/>
              <w:rPr>
                <w:rFonts w:asciiTheme="minorBidi" w:hAnsiTheme="minorBidi" w:cstheme="minorBidi"/>
                <w:sz w:val="20"/>
                <w:szCs w:val="20"/>
              </w:rPr>
            </w:pPr>
            <w:r w:rsidRPr="001B32F4">
              <w:rPr>
                <w:rFonts w:asciiTheme="minorBidi" w:hAnsiTheme="minorBidi" w:cstheme="minorBidi"/>
                <w:color w:val="000000"/>
                <w:sz w:val="20"/>
                <w:szCs w:val="20"/>
              </w:rPr>
              <w:t>About 96.1% (n = 125) of the respondents had been vaccinated.</w:t>
            </w:r>
          </w:p>
          <w:p w:rsidR="00EF2C14" w:rsidRPr="001B32F4" w:rsidRDefault="006D65D6" w:rsidP="001B32F4">
            <w:pPr>
              <w:pStyle w:val="NormalWeb"/>
              <w:numPr>
                <w:ilvl w:val="0"/>
                <w:numId w:val="29"/>
              </w:numPr>
              <w:spacing w:before="0" w:beforeAutospacing="0" w:after="160" w:afterAutospacing="0"/>
              <w:ind w:left="275" w:hanging="275"/>
              <w:rPr>
                <w:rFonts w:asciiTheme="minorBidi" w:hAnsiTheme="minorBidi" w:cstheme="minorBidi"/>
                <w:sz w:val="20"/>
                <w:szCs w:val="20"/>
              </w:rPr>
            </w:pPr>
            <w:r w:rsidRPr="001B32F4">
              <w:rPr>
                <w:rFonts w:asciiTheme="minorBidi" w:hAnsiTheme="minorBidi" w:cstheme="minorBidi"/>
                <w:color w:val="000000"/>
                <w:sz w:val="20"/>
                <w:szCs w:val="20"/>
              </w:rPr>
              <w:t xml:space="preserve">Around 5.4% stated that they agreed to be vaccinated exclusively because of the sanctions provided for by the legislation. </w:t>
            </w:r>
          </w:p>
        </w:tc>
        <w:tc>
          <w:tcPr>
            <w:tcW w:w="1546" w:type="dxa"/>
          </w:tcPr>
          <w:p w:rsidR="001B32F4" w:rsidRPr="001B32F4" w:rsidRDefault="001B32F4" w:rsidP="001B32F4">
            <w:pPr>
              <w:pStyle w:val="NormalWeb"/>
              <w:numPr>
                <w:ilvl w:val="0"/>
                <w:numId w:val="29"/>
              </w:numPr>
              <w:spacing w:before="0" w:beforeAutospacing="0" w:after="160" w:afterAutospacing="0"/>
              <w:ind w:left="275" w:hanging="275"/>
              <w:rPr>
                <w:rFonts w:asciiTheme="minorBidi" w:hAnsiTheme="minorBidi" w:cstheme="minorBidi"/>
                <w:sz w:val="20"/>
                <w:szCs w:val="20"/>
              </w:rPr>
            </w:pPr>
            <w:r w:rsidRPr="001B32F4">
              <w:rPr>
                <w:rFonts w:asciiTheme="minorBidi" w:hAnsiTheme="minorBidi" w:cstheme="minorBidi"/>
                <w:color w:val="000000"/>
                <w:sz w:val="20"/>
                <w:szCs w:val="20"/>
              </w:rPr>
              <w:t>Despite the high rate of response to vaccination, 17.7% of the respondents did not agree with its mandatory nature.</w:t>
            </w:r>
          </w:p>
          <w:p w:rsidR="00EF2C14" w:rsidRPr="001B32F4" w:rsidRDefault="00EF2C14" w:rsidP="001B32F4">
            <w:pPr>
              <w:rPr>
                <w:rFonts w:asciiTheme="minorBidi" w:hAnsiTheme="minorBidi"/>
                <w:sz w:val="20"/>
                <w:szCs w:val="20"/>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nl-BE"/>
              </w:rPr>
              <w:t>Porat</w:t>
            </w:r>
            <w:proofErr w:type="spellEnd"/>
            <w:r w:rsidRPr="001B32F4">
              <w:rPr>
                <w:rFonts w:asciiTheme="minorBidi" w:hAnsiTheme="minorBidi"/>
                <w:sz w:val="20"/>
                <w:szCs w:val="20"/>
                <w:lang w:val="nl-BE"/>
              </w:rPr>
              <w:t xml:space="preserve"> et al. (2021)</w:t>
            </w:r>
          </w:p>
        </w:tc>
        <w:tc>
          <w:tcPr>
            <w:tcW w:w="1775" w:type="dxa"/>
          </w:tcPr>
          <w:p w:rsidR="00EF2C14" w:rsidRPr="001B32F4" w:rsidRDefault="00EF2C14" w:rsidP="001B32F4">
            <w:pPr>
              <w:rPr>
                <w:rFonts w:asciiTheme="minorBidi" w:hAnsiTheme="minorBidi"/>
                <w:sz w:val="20"/>
                <w:szCs w:val="20"/>
                <w:lang w:val="nl-BE"/>
              </w:rPr>
            </w:pPr>
          </w:p>
        </w:tc>
        <w:tc>
          <w:tcPr>
            <w:tcW w:w="1675" w:type="dxa"/>
          </w:tcPr>
          <w:p w:rsidR="00EF2C14" w:rsidRPr="001B32F4" w:rsidRDefault="00EF2C14" w:rsidP="001B32F4">
            <w:pPr>
              <w:rPr>
                <w:rFonts w:asciiTheme="minorBidi" w:hAnsiTheme="minorBidi"/>
                <w:sz w:val="20"/>
                <w:szCs w:val="20"/>
                <w:lang w:val="nl-BE"/>
              </w:rPr>
            </w:pPr>
          </w:p>
        </w:tc>
        <w:tc>
          <w:tcPr>
            <w:tcW w:w="2577" w:type="dxa"/>
          </w:tcPr>
          <w:p w:rsidR="00EF2C14" w:rsidRPr="001B32F4" w:rsidRDefault="00EF2C14" w:rsidP="001B32F4">
            <w:pPr>
              <w:rPr>
                <w:rFonts w:asciiTheme="minorBidi" w:hAnsiTheme="minorBidi"/>
                <w:sz w:val="20"/>
                <w:szCs w:val="20"/>
                <w:lang w:val="nl-BE"/>
              </w:rPr>
            </w:pPr>
          </w:p>
        </w:tc>
        <w:tc>
          <w:tcPr>
            <w:tcW w:w="1546" w:type="dxa"/>
          </w:tcPr>
          <w:p w:rsidR="00EF2C14" w:rsidRPr="001B32F4" w:rsidRDefault="00EF2C14" w:rsidP="001B32F4">
            <w:pPr>
              <w:rPr>
                <w:rFonts w:asciiTheme="minorBidi" w:hAnsiTheme="minorBidi"/>
                <w:sz w:val="20"/>
                <w:szCs w:val="20"/>
              </w:rPr>
            </w:pPr>
            <w:r w:rsidRPr="001B32F4">
              <w:rPr>
                <w:rFonts w:asciiTheme="minorBidi" w:hAnsiTheme="minorBidi"/>
                <w:sz w:val="20"/>
                <w:szCs w:val="20"/>
              </w:rPr>
              <w:t>Negative correlation between autonomy frustration and vaccine acceptance (r = −0.37, 95% CI [−0.32, −0.41]). The more participants were against vaccine passports, the more autonomy frustration they reported.</w:t>
            </w: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Radic</w:t>
            </w:r>
            <w:proofErr w:type="spellEnd"/>
            <w:r w:rsidRPr="001B32F4">
              <w:rPr>
                <w:rFonts w:asciiTheme="minorBidi" w:hAnsiTheme="minorBidi"/>
                <w:sz w:val="20"/>
                <w:szCs w:val="20"/>
                <w:lang w:val="en-US"/>
              </w:rPr>
              <w:t xml:space="preserve">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4"/>
              </w:numPr>
              <w:ind w:left="285" w:hanging="284"/>
              <w:rPr>
                <w:rFonts w:asciiTheme="minorBidi" w:hAnsiTheme="minorBidi"/>
                <w:sz w:val="20"/>
                <w:szCs w:val="20"/>
                <w:lang w:val="en-US"/>
              </w:rPr>
            </w:pPr>
            <w:r w:rsidRPr="001B32F4">
              <w:rPr>
                <w:rFonts w:asciiTheme="minorBidi" w:hAnsiTheme="minorBidi"/>
                <w:sz w:val="20"/>
                <w:szCs w:val="20"/>
                <w:lang w:val="en-US"/>
              </w:rPr>
              <w:t xml:space="preserve">Mass media coverage has a positive impact on the attitude toward a COVID-19 vaccine </w:t>
            </w:r>
            <w:r w:rsidRPr="001B32F4">
              <w:rPr>
                <w:rFonts w:asciiTheme="minorBidi" w:hAnsiTheme="minorBidi"/>
                <w:sz w:val="20"/>
                <w:szCs w:val="20"/>
                <w:lang w:val="en-US"/>
              </w:rPr>
              <w:lastRenderedPageBreak/>
              <w:t>certificate (β=0.523, p&lt; 0.001).</w:t>
            </w:r>
          </w:p>
          <w:p w:rsidR="00EF2C14" w:rsidRPr="001B32F4" w:rsidRDefault="00EF2C14" w:rsidP="001B32F4">
            <w:pPr>
              <w:pStyle w:val="ListParagraph"/>
              <w:numPr>
                <w:ilvl w:val="0"/>
                <w:numId w:val="14"/>
              </w:numPr>
              <w:ind w:left="285" w:hanging="284"/>
              <w:rPr>
                <w:rFonts w:asciiTheme="minorBidi" w:hAnsiTheme="minorBidi"/>
                <w:sz w:val="20"/>
                <w:szCs w:val="20"/>
                <w:lang w:val="en-US"/>
              </w:rPr>
            </w:pPr>
            <w:r w:rsidRPr="001B32F4">
              <w:rPr>
                <w:rFonts w:asciiTheme="minorBidi" w:hAnsiTheme="minorBidi"/>
                <w:sz w:val="20"/>
                <w:szCs w:val="20"/>
                <w:lang w:val="en-US"/>
              </w:rPr>
              <w:t>Attitude towards a COVID-19 vaccine certificate (β =0.434, p&lt; 0.001), subjective norm towards the COVID-19 vaccine (β =0.701, p&lt; 0.001), and previous travel experience (β =0.137, p&lt; 0.001) have a positive impact on the behavioral intention to take the COVID-19 vaccine before international travel.</w:t>
            </w:r>
          </w:p>
        </w:tc>
        <w:tc>
          <w:tcPr>
            <w:tcW w:w="1546"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lastRenderedPageBreak/>
              <w:t xml:space="preserve">Travel motivation has a negative impact on the attitude toward </w:t>
            </w:r>
            <w:r w:rsidRPr="001B32F4">
              <w:rPr>
                <w:rFonts w:asciiTheme="minorBidi" w:hAnsiTheme="minorBidi"/>
                <w:sz w:val="20"/>
                <w:szCs w:val="20"/>
                <w:lang w:val="en-US"/>
              </w:rPr>
              <w:lastRenderedPageBreak/>
              <w:t>a COVID-19 vaccine certificate (β =-0.199, p&lt; 0.001).</w:t>
            </w: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Raja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5"/>
              </w:numPr>
              <w:ind w:left="285" w:hanging="284"/>
              <w:rPr>
                <w:rFonts w:asciiTheme="minorBidi" w:hAnsiTheme="minorBidi"/>
                <w:sz w:val="20"/>
                <w:szCs w:val="20"/>
                <w:lang w:val="en-US"/>
              </w:rPr>
            </w:pPr>
            <w:r w:rsidRPr="001B32F4">
              <w:rPr>
                <w:rFonts w:asciiTheme="minorBidi" w:hAnsiTheme="minorBidi"/>
                <w:sz w:val="20"/>
                <w:szCs w:val="20"/>
                <w:lang w:val="en-US"/>
              </w:rPr>
              <w:t>Vaccine acceptance among the respondents was 55.8%</w:t>
            </w:r>
          </w:p>
          <w:p w:rsidR="00EF2C14" w:rsidRPr="001B32F4" w:rsidRDefault="00EF2C14" w:rsidP="001B32F4">
            <w:pPr>
              <w:pStyle w:val="ListParagraph"/>
              <w:numPr>
                <w:ilvl w:val="0"/>
                <w:numId w:val="15"/>
              </w:numPr>
              <w:ind w:left="285" w:hanging="284"/>
              <w:rPr>
                <w:rFonts w:asciiTheme="minorBidi" w:hAnsiTheme="minorBidi"/>
                <w:sz w:val="20"/>
                <w:szCs w:val="20"/>
                <w:lang w:val="en-US"/>
              </w:rPr>
            </w:pPr>
            <w:r w:rsidRPr="001B32F4">
              <w:rPr>
                <w:rFonts w:asciiTheme="minorBidi" w:hAnsiTheme="minorBidi"/>
                <w:sz w:val="20"/>
                <w:szCs w:val="20"/>
                <w:lang w:val="en-US"/>
              </w:rPr>
              <w:t>Around 58.7% of all respondents were willing to accept the vaccine for travel reasons.</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Ramos et al. (2022)</w:t>
            </w:r>
          </w:p>
        </w:tc>
        <w:tc>
          <w:tcPr>
            <w:tcW w:w="17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The incidence rate was lower in the intervention group (attendees) at 7 days (10.6 per 100,000 person-days, 95% CI [0.3–58.9] versus 21.2 per 100,000 person-days, 95% CI [7.8–46.1]) and 14 days (15.9 per 100,000 person-days, 95% CI [3.3–46.4] versus 17.7 per 100,000 person-days, 95% CI [8.5–32.5]) of follow-up. This difference was not statistically significant.</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Reno et al. (2022)</w:t>
            </w:r>
          </w:p>
        </w:tc>
        <w:tc>
          <w:tcPr>
            <w:tcW w:w="1775"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 xml:space="preserve">After the implementation of Green Pass (23 July 2021), the number of new cases, hospitalizations, and deaths were considerably </w:t>
            </w:r>
            <w:r w:rsidRPr="001B32F4">
              <w:rPr>
                <w:rFonts w:asciiTheme="minorBidi" w:hAnsiTheme="minorBidi"/>
                <w:sz w:val="20"/>
                <w:szCs w:val="20"/>
                <w:lang w:val="en-US"/>
              </w:rPr>
              <w:lastRenderedPageBreak/>
              <w:t>lower in this fourth wave compared to the previous waves.</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The vaccination rate increased immediately from 50% to 60%.</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Rosen et al. (2021)</w:t>
            </w:r>
          </w:p>
          <w:p w:rsidR="00EF2C14" w:rsidRPr="001B32F4" w:rsidRDefault="00EF2C14" w:rsidP="001B32F4">
            <w:pPr>
              <w:rPr>
                <w:rFonts w:asciiTheme="minorBidi" w:hAnsiTheme="minorBidi"/>
                <w:sz w:val="20"/>
                <w:szCs w:val="20"/>
                <w:lang w:val="en-US"/>
              </w:rPr>
            </w:pP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By March 31, 73% of the population age 20–29 year had been vaccinated, despite an initially slow uptake and despite the initial hesitancy prevalent among this age group. It is very likely that the Green Pass program have been particularly influential in this age group.</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Saban</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6"/>
              </w:numPr>
              <w:ind w:left="285" w:hanging="285"/>
              <w:rPr>
                <w:rFonts w:asciiTheme="minorBidi" w:hAnsiTheme="minorBidi"/>
                <w:sz w:val="20"/>
                <w:szCs w:val="20"/>
                <w:lang w:val="en-US"/>
              </w:rPr>
            </w:pPr>
            <w:r w:rsidRPr="001B32F4">
              <w:rPr>
                <w:rFonts w:asciiTheme="minorBidi" w:hAnsiTheme="minorBidi"/>
                <w:sz w:val="20"/>
                <w:szCs w:val="20"/>
                <w:lang w:val="en-US"/>
              </w:rPr>
              <w:t>After the exemption from quarantine for vaccinated persons on 17 January 2021, there was a peak in second dose vaccinations up to over 200,000 doses per day.</w:t>
            </w:r>
          </w:p>
          <w:p w:rsidR="00EF2C14" w:rsidRPr="001B32F4" w:rsidRDefault="00EF2C14" w:rsidP="001B32F4">
            <w:pPr>
              <w:pStyle w:val="ListParagraph"/>
              <w:numPr>
                <w:ilvl w:val="0"/>
                <w:numId w:val="16"/>
              </w:numPr>
              <w:ind w:left="285" w:hanging="285"/>
              <w:rPr>
                <w:rFonts w:asciiTheme="minorBidi" w:hAnsiTheme="minorBidi"/>
                <w:sz w:val="20"/>
                <w:szCs w:val="20"/>
                <w:lang w:val="en-US"/>
              </w:rPr>
            </w:pPr>
            <w:r w:rsidRPr="001B32F4">
              <w:rPr>
                <w:rFonts w:asciiTheme="minorBidi" w:hAnsiTheme="minorBidi"/>
                <w:sz w:val="20"/>
                <w:szCs w:val="20"/>
                <w:lang w:val="en-US"/>
              </w:rPr>
              <w:t>Another peak was observed on 21 February when the Green Pass was officially implemented.</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Sargent et al.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1B32F4" w:rsidP="001B32F4">
            <w:pPr>
              <w:rPr>
                <w:rFonts w:asciiTheme="minorBidi" w:hAnsiTheme="minorBidi"/>
                <w:sz w:val="20"/>
                <w:szCs w:val="20"/>
                <w:lang w:val="en-US"/>
              </w:rPr>
            </w:pPr>
            <w:r w:rsidRPr="001B32F4">
              <w:rPr>
                <w:rFonts w:asciiTheme="minorBidi" w:hAnsiTheme="minorBidi"/>
                <w:color w:val="000000"/>
                <w:sz w:val="20"/>
                <w:szCs w:val="20"/>
              </w:rPr>
              <w:t>Among working unvaccinated respondents (n = 2,135), 32.1% said that they would get vaccinated in response to a work requirement, 42.2% said they would not get vaccinated, and 25.7% reported that they were unsure if they would get vaccinated.</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Shmueli</w:t>
            </w:r>
            <w:proofErr w:type="spellEnd"/>
            <w:r w:rsidRPr="001B32F4">
              <w:rPr>
                <w:rFonts w:asciiTheme="minorBidi" w:hAnsiTheme="minorBidi"/>
                <w:sz w:val="20"/>
                <w:szCs w:val="20"/>
                <w:lang w:val="en-US"/>
              </w:rPr>
              <w:t xml:space="preserve"> (2022)</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t xml:space="preserve">Neither financial incentives, such as monetary rewards (OR = 1.07, 95% CI [0.76, 1.50]) or monetary penalties (OR = 0.98, 95% CI [0.71,1.36]), nor non-financial incentives, such as the </w:t>
            </w:r>
            <w:r w:rsidRPr="001B32F4">
              <w:rPr>
                <w:rFonts w:asciiTheme="minorBidi" w:hAnsiTheme="minorBidi"/>
                <w:sz w:val="20"/>
                <w:szCs w:val="20"/>
                <w:lang w:val="en-US"/>
              </w:rPr>
              <w:lastRenderedPageBreak/>
              <w:t>“green pass” (OR = 1.12, 95% CI [0.82,1.55]) were found to be significant predictors of the intention to get vaccinated.</w:t>
            </w: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lang w:val="en-US"/>
              </w:rPr>
              <w:lastRenderedPageBreak/>
              <w:t>Syme et al. (2022)</w:t>
            </w:r>
          </w:p>
        </w:tc>
        <w:tc>
          <w:tcPr>
            <w:tcW w:w="1775" w:type="dxa"/>
          </w:tcPr>
          <w:p w:rsidR="00EF2C14" w:rsidRPr="001B32F4" w:rsidRDefault="00EF2C14" w:rsidP="001B32F4">
            <w:pPr>
              <w:pStyle w:val="ListParagraph"/>
              <w:ind w:left="367"/>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1B32F4" w:rsidP="001B32F4">
            <w:pPr>
              <w:rPr>
                <w:rFonts w:asciiTheme="minorBidi" w:hAnsiTheme="minorBidi"/>
                <w:sz w:val="20"/>
                <w:szCs w:val="20"/>
                <w:lang w:val="en-US"/>
              </w:rPr>
            </w:pPr>
            <w:r w:rsidRPr="001B32F4">
              <w:rPr>
                <w:rFonts w:asciiTheme="minorBidi" w:hAnsiTheme="minorBidi"/>
                <w:color w:val="000000"/>
                <w:sz w:val="20"/>
                <w:szCs w:val="20"/>
              </w:rPr>
              <w:t>Staff COVID-19 vaccination rates in Mississippi increased from 43.0% before the vaccinate-or-test-out mandate to 51.3%.</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Tchepmo</w:t>
            </w:r>
            <w:proofErr w:type="spellEnd"/>
            <w:r w:rsidRPr="001B32F4">
              <w:rPr>
                <w:rFonts w:asciiTheme="minorBidi" w:hAnsiTheme="minorBidi"/>
                <w:sz w:val="20"/>
                <w:szCs w:val="20"/>
                <w:lang w:val="en-US"/>
              </w:rPr>
              <w:t xml:space="preserve"> </w:t>
            </w:r>
            <w:proofErr w:type="spellStart"/>
            <w:r w:rsidRPr="001B32F4">
              <w:rPr>
                <w:rFonts w:asciiTheme="minorBidi" w:hAnsiTheme="minorBidi"/>
                <w:sz w:val="20"/>
                <w:szCs w:val="20"/>
                <w:lang w:val="en-US"/>
              </w:rPr>
              <w:t>Djomegni</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pStyle w:val="ListParagraph"/>
              <w:numPr>
                <w:ilvl w:val="0"/>
                <w:numId w:val="17"/>
              </w:numPr>
              <w:ind w:left="367" w:hanging="367"/>
              <w:rPr>
                <w:rFonts w:asciiTheme="minorBidi" w:hAnsiTheme="minorBidi"/>
                <w:sz w:val="20"/>
                <w:szCs w:val="20"/>
                <w:lang w:val="en-US"/>
              </w:rPr>
            </w:pPr>
            <w:r w:rsidRPr="001B32F4">
              <w:rPr>
                <w:rFonts w:asciiTheme="minorBidi" w:hAnsiTheme="minorBidi"/>
                <w:sz w:val="20"/>
                <w:szCs w:val="20"/>
                <w:lang w:val="en-US"/>
              </w:rPr>
              <w:t>When 1 out of 1000 susceptible individuals are (cumulatively) "protected", then the pandemic will reach its peak approximately after 150 days, which is earlier than without "protected class".</w:t>
            </w:r>
          </w:p>
          <w:p w:rsidR="00EF2C14" w:rsidRPr="001B32F4" w:rsidRDefault="00EF2C14" w:rsidP="001B32F4">
            <w:pPr>
              <w:pStyle w:val="ListParagraph"/>
              <w:numPr>
                <w:ilvl w:val="0"/>
                <w:numId w:val="17"/>
              </w:numPr>
              <w:ind w:left="367" w:hanging="367"/>
              <w:rPr>
                <w:rFonts w:asciiTheme="minorBidi" w:hAnsiTheme="minorBidi"/>
                <w:sz w:val="20"/>
                <w:szCs w:val="20"/>
                <w:lang w:val="en-US"/>
              </w:rPr>
            </w:pPr>
            <w:r w:rsidRPr="001B32F4">
              <w:rPr>
                <w:rFonts w:asciiTheme="minorBidi" w:hAnsiTheme="minorBidi"/>
                <w:sz w:val="20"/>
                <w:szCs w:val="20"/>
                <w:lang w:val="en-US"/>
              </w:rPr>
              <w:t>There will be about 400,000 active case in this period. After some days, most of the susceptible will be "protected” and the population could be disease free over time.</w:t>
            </w: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rPr>
                <w:rFonts w:asciiTheme="minorBidi" w:hAnsiTheme="minorBidi"/>
                <w:sz w:val="20"/>
                <w:szCs w:val="20"/>
                <w:lang w:val="en-US"/>
              </w:rPr>
            </w:pP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en-US"/>
              </w:rPr>
              <w:t>Walkowiak</w:t>
            </w:r>
            <w:proofErr w:type="spellEnd"/>
            <w:r w:rsidRPr="001B32F4">
              <w:rPr>
                <w:rFonts w:asciiTheme="minorBidi" w:hAnsiTheme="minorBidi"/>
                <w:sz w:val="20"/>
                <w:szCs w:val="20"/>
                <w:lang w:val="en-US"/>
              </w:rPr>
              <w:t xml:space="preserve"> et al. (2021)</w:t>
            </w:r>
          </w:p>
        </w:tc>
        <w:tc>
          <w:tcPr>
            <w:tcW w:w="1775" w:type="dxa"/>
          </w:tcPr>
          <w:p w:rsidR="00EF2C14" w:rsidRPr="001B32F4" w:rsidRDefault="00EF2C14" w:rsidP="001B32F4">
            <w:pPr>
              <w:rPr>
                <w:rFonts w:asciiTheme="minorBidi" w:hAnsiTheme="minorBidi"/>
                <w:sz w:val="20"/>
                <w:szCs w:val="20"/>
                <w:lang w:val="en-US"/>
              </w:rPr>
            </w:pPr>
          </w:p>
        </w:tc>
        <w:tc>
          <w:tcPr>
            <w:tcW w:w="1675" w:type="dxa"/>
          </w:tcPr>
          <w:p w:rsidR="00EF2C14" w:rsidRPr="001B32F4" w:rsidRDefault="00EF2C14" w:rsidP="001B32F4">
            <w:pPr>
              <w:rPr>
                <w:rFonts w:asciiTheme="minorBidi" w:hAnsiTheme="minorBidi"/>
                <w:sz w:val="20"/>
                <w:szCs w:val="20"/>
                <w:lang w:val="en-US"/>
              </w:rPr>
            </w:pPr>
          </w:p>
        </w:tc>
        <w:tc>
          <w:tcPr>
            <w:tcW w:w="2577" w:type="dxa"/>
          </w:tcPr>
          <w:p w:rsidR="00EF2C14" w:rsidRPr="001B32F4" w:rsidRDefault="00EF2C14" w:rsidP="001B32F4">
            <w:pPr>
              <w:pStyle w:val="ListParagraph"/>
              <w:numPr>
                <w:ilvl w:val="0"/>
                <w:numId w:val="18"/>
              </w:numPr>
              <w:ind w:left="285" w:hanging="285"/>
              <w:rPr>
                <w:rFonts w:asciiTheme="minorBidi" w:hAnsiTheme="minorBidi"/>
                <w:sz w:val="20"/>
                <w:szCs w:val="20"/>
                <w:lang w:val="en-US"/>
              </w:rPr>
            </w:pPr>
            <w:r w:rsidRPr="001B32F4">
              <w:rPr>
                <w:rFonts w:asciiTheme="minorBidi" w:hAnsiTheme="minorBidi"/>
                <w:sz w:val="20"/>
                <w:szCs w:val="20"/>
                <w:lang w:val="en-US"/>
              </w:rPr>
              <w:t>The mandate resulted in a 12.34% increase in the vaccination rate in Lithuania.</w:t>
            </w:r>
          </w:p>
          <w:p w:rsidR="00EF2C14" w:rsidRPr="001B32F4" w:rsidRDefault="00EF2C14" w:rsidP="001B32F4">
            <w:pPr>
              <w:pStyle w:val="ListParagraph"/>
              <w:numPr>
                <w:ilvl w:val="0"/>
                <w:numId w:val="18"/>
              </w:numPr>
              <w:ind w:left="285" w:hanging="285"/>
              <w:rPr>
                <w:rFonts w:asciiTheme="minorBidi" w:hAnsiTheme="minorBidi"/>
                <w:sz w:val="20"/>
                <w:szCs w:val="20"/>
                <w:lang w:val="en-US"/>
              </w:rPr>
            </w:pPr>
            <w:r w:rsidRPr="001B32F4">
              <w:rPr>
                <w:rFonts w:asciiTheme="minorBidi" w:hAnsiTheme="minorBidi"/>
                <w:sz w:val="20"/>
                <w:szCs w:val="20"/>
                <w:lang w:val="en-US"/>
              </w:rPr>
              <w:t xml:space="preserve">The vaccination rate increased considerably in all age group: 43.1% in age group 18–24 years, 45.1% in age 25–49 years, 41.3% </w:t>
            </w:r>
            <w:r w:rsidRPr="001B32F4">
              <w:rPr>
                <w:rFonts w:asciiTheme="minorBidi" w:hAnsiTheme="minorBidi"/>
                <w:sz w:val="20"/>
                <w:szCs w:val="20"/>
                <w:lang w:val="en-US"/>
              </w:rPr>
              <w:lastRenderedPageBreak/>
              <w:t>in age 50–59 years, 40.2% in age 60–69 years, and 20.3% in 70+ year.</w:t>
            </w:r>
          </w:p>
        </w:tc>
        <w:tc>
          <w:tcPr>
            <w:tcW w:w="1546" w:type="dxa"/>
          </w:tcPr>
          <w:p w:rsidR="00EF2C14" w:rsidRPr="001B32F4" w:rsidRDefault="00EF2C14" w:rsidP="001B32F4">
            <w:pPr>
              <w:rPr>
                <w:rFonts w:asciiTheme="minorBidi" w:hAnsiTheme="minorBidi"/>
                <w:sz w:val="20"/>
                <w:szCs w:val="20"/>
                <w:lang w:val="en-US"/>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r w:rsidRPr="001B32F4">
              <w:rPr>
                <w:rFonts w:asciiTheme="minorBidi" w:hAnsiTheme="minorBidi"/>
                <w:sz w:val="20"/>
                <w:szCs w:val="20"/>
              </w:rPr>
              <w:t>Wong et al.</w:t>
            </w:r>
            <w:r w:rsidRPr="001B32F4">
              <w:rPr>
                <w:rFonts w:asciiTheme="minorBidi" w:hAnsiTheme="minorBidi"/>
                <w:sz w:val="20"/>
                <w:szCs w:val="20"/>
                <w:lang w:val="en-US"/>
              </w:rPr>
              <w:t xml:space="preserve"> (2021)</w:t>
            </w:r>
          </w:p>
        </w:tc>
        <w:tc>
          <w:tcPr>
            <w:tcW w:w="1775" w:type="dxa"/>
          </w:tcPr>
          <w:p w:rsidR="00EF2C14" w:rsidRPr="001B32F4" w:rsidRDefault="00EF2C14" w:rsidP="001B32F4">
            <w:pPr>
              <w:rPr>
                <w:rFonts w:asciiTheme="minorBidi" w:hAnsiTheme="minorBidi"/>
                <w:sz w:val="20"/>
                <w:szCs w:val="20"/>
              </w:rPr>
            </w:pPr>
          </w:p>
        </w:tc>
        <w:tc>
          <w:tcPr>
            <w:tcW w:w="1675" w:type="dxa"/>
          </w:tcPr>
          <w:p w:rsidR="00EF2C14" w:rsidRPr="001B32F4" w:rsidRDefault="00EF2C14" w:rsidP="001B32F4">
            <w:pPr>
              <w:rPr>
                <w:rFonts w:asciiTheme="minorBidi" w:hAnsiTheme="minorBidi"/>
                <w:sz w:val="20"/>
                <w:szCs w:val="20"/>
              </w:rPr>
            </w:pPr>
          </w:p>
        </w:tc>
        <w:tc>
          <w:tcPr>
            <w:tcW w:w="2577" w:type="dxa"/>
          </w:tcPr>
          <w:p w:rsidR="00EF2C14" w:rsidRPr="001B32F4" w:rsidRDefault="00EF2C14" w:rsidP="001B32F4">
            <w:pPr>
              <w:rPr>
                <w:rFonts w:asciiTheme="minorBidi" w:hAnsiTheme="minorBidi"/>
                <w:sz w:val="20"/>
                <w:szCs w:val="20"/>
              </w:rPr>
            </w:pPr>
            <w:r w:rsidRPr="001B32F4">
              <w:rPr>
                <w:rFonts w:asciiTheme="minorBidi" w:hAnsiTheme="minorBidi"/>
                <w:sz w:val="20"/>
                <w:szCs w:val="20"/>
              </w:rPr>
              <w:t>The highest score of facilitation measures was for “vaccine passports for overseas travel” (4.44, 95% C.I. [4.18, 4.71]).</w:t>
            </w:r>
          </w:p>
        </w:tc>
        <w:tc>
          <w:tcPr>
            <w:tcW w:w="1546" w:type="dxa"/>
          </w:tcPr>
          <w:p w:rsidR="00EF2C14" w:rsidRPr="001B32F4" w:rsidRDefault="00EF2C14" w:rsidP="001B32F4">
            <w:pPr>
              <w:rPr>
                <w:rFonts w:asciiTheme="minorBidi" w:hAnsiTheme="minorBidi"/>
                <w:sz w:val="20"/>
                <w:szCs w:val="20"/>
              </w:rPr>
            </w:pPr>
          </w:p>
        </w:tc>
      </w:tr>
      <w:tr w:rsidR="007058B7" w:rsidRPr="001B32F4" w:rsidTr="00952736">
        <w:tc>
          <w:tcPr>
            <w:tcW w:w="1602" w:type="dxa"/>
          </w:tcPr>
          <w:p w:rsidR="00EF2C14" w:rsidRPr="001B32F4" w:rsidRDefault="00EF2C14" w:rsidP="001B32F4">
            <w:pPr>
              <w:rPr>
                <w:rFonts w:asciiTheme="minorBidi" w:hAnsiTheme="minorBidi"/>
                <w:sz w:val="20"/>
                <w:szCs w:val="20"/>
                <w:lang w:val="en-US"/>
              </w:rPr>
            </w:pPr>
            <w:proofErr w:type="spellStart"/>
            <w:r w:rsidRPr="001B32F4">
              <w:rPr>
                <w:rFonts w:asciiTheme="minorBidi" w:hAnsiTheme="minorBidi"/>
                <w:sz w:val="20"/>
                <w:szCs w:val="20"/>
                <w:lang w:val="nl-BE"/>
              </w:rPr>
              <w:t>Zimand-Sheiner</w:t>
            </w:r>
            <w:proofErr w:type="spellEnd"/>
            <w:r w:rsidRPr="001B32F4">
              <w:rPr>
                <w:rFonts w:asciiTheme="minorBidi" w:hAnsiTheme="minorBidi"/>
                <w:sz w:val="20"/>
                <w:szCs w:val="20"/>
                <w:lang w:val="nl-BE"/>
              </w:rPr>
              <w:t xml:space="preserve"> et al. (2021)</w:t>
            </w:r>
          </w:p>
        </w:tc>
        <w:tc>
          <w:tcPr>
            <w:tcW w:w="1775" w:type="dxa"/>
          </w:tcPr>
          <w:p w:rsidR="00EF2C14" w:rsidRPr="001B32F4" w:rsidRDefault="00EF2C14" w:rsidP="001B32F4">
            <w:pPr>
              <w:rPr>
                <w:rFonts w:asciiTheme="minorBidi" w:hAnsiTheme="minorBidi"/>
                <w:sz w:val="20"/>
                <w:szCs w:val="20"/>
                <w:lang w:val="nl-BE"/>
              </w:rPr>
            </w:pPr>
          </w:p>
        </w:tc>
        <w:tc>
          <w:tcPr>
            <w:tcW w:w="1675" w:type="dxa"/>
          </w:tcPr>
          <w:p w:rsidR="00EF2C14" w:rsidRPr="001B32F4" w:rsidRDefault="00EF2C14" w:rsidP="001B32F4">
            <w:pPr>
              <w:rPr>
                <w:rFonts w:asciiTheme="minorBidi" w:hAnsiTheme="minorBidi"/>
                <w:sz w:val="20"/>
                <w:szCs w:val="20"/>
                <w:lang w:val="nl-BE"/>
              </w:rPr>
            </w:pPr>
          </w:p>
        </w:tc>
        <w:tc>
          <w:tcPr>
            <w:tcW w:w="2577" w:type="dxa"/>
          </w:tcPr>
          <w:p w:rsidR="00EF2C14" w:rsidRPr="001B32F4" w:rsidRDefault="00EF2C14" w:rsidP="001B32F4">
            <w:pPr>
              <w:pStyle w:val="ListParagraph"/>
              <w:numPr>
                <w:ilvl w:val="0"/>
                <w:numId w:val="19"/>
              </w:numPr>
              <w:ind w:left="285" w:hanging="284"/>
              <w:rPr>
                <w:rFonts w:asciiTheme="minorBidi" w:hAnsiTheme="minorBidi"/>
                <w:sz w:val="20"/>
                <w:szCs w:val="20"/>
              </w:rPr>
            </w:pPr>
            <w:r w:rsidRPr="001B32F4">
              <w:rPr>
                <w:rFonts w:asciiTheme="minorBidi" w:hAnsiTheme="minorBidi"/>
                <w:sz w:val="20"/>
                <w:szCs w:val="20"/>
              </w:rPr>
              <w:t>Incentives positively affects attitude toward vaccination (β = 0.417, p&lt;0.001).</w:t>
            </w:r>
          </w:p>
          <w:p w:rsidR="00EF2C14" w:rsidRPr="001B32F4" w:rsidRDefault="00EF2C14" w:rsidP="001B32F4">
            <w:pPr>
              <w:pStyle w:val="ListParagraph"/>
              <w:numPr>
                <w:ilvl w:val="0"/>
                <w:numId w:val="19"/>
              </w:numPr>
              <w:ind w:left="285" w:hanging="284"/>
              <w:rPr>
                <w:rFonts w:asciiTheme="minorBidi" w:hAnsiTheme="minorBidi"/>
                <w:sz w:val="20"/>
                <w:szCs w:val="20"/>
              </w:rPr>
            </w:pPr>
            <w:r w:rsidRPr="001B32F4">
              <w:rPr>
                <w:rFonts w:asciiTheme="minorBidi" w:hAnsiTheme="minorBidi"/>
                <w:sz w:val="20"/>
                <w:szCs w:val="20"/>
              </w:rPr>
              <w:t>The use of incentives can reduce the institutional mistrust effect and enhance vaccination attitude and actual vaccination (β = −0.127, p = 0.014)</w:t>
            </w:r>
          </w:p>
        </w:tc>
        <w:tc>
          <w:tcPr>
            <w:tcW w:w="1546" w:type="dxa"/>
          </w:tcPr>
          <w:p w:rsidR="00EF2C14" w:rsidRPr="001B32F4" w:rsidRDefault="00EF2C14" w:rsidP="001B32F4">
            <w:pPr>
              <w:rPr>
                <w:rFonts w:asciiTheme="minorBidi" w:hAnsiTheme="minorBidi"/>
                <w:sz w:val="20"/>
                <w:szCs w:val="20"/>
              </w:rPr>
            </w:pPr>
          </w:p>
        </w:tc>
      </w:tr>
    </w:tbl>
    <w:p w:rsidR="00042F45" w:rsidRPr="003B0719" w:rsidRDefault="00042F45">
      <w:pPr>
        <w:rPr>
          <w:rFonts w:asciiTheme="minorBidi" w:hAnsiTheme="minorBidi"/>
          <w:sz w:val="20"/>
          <w:szCs w:val="20"/>
          <w:lang w:val="en-US"/>
        </w:rPr>
      </w:pPr>
    </w:p>
    <w:sectPr w:rsidR="00042F45" w:rsidRPr="003B0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601"/>
    <w:multiLevelType w:val="hybridMultilevel"/>
    <w:tmpl w:val="0FC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86339"/>
    <w:multiLevelType w:val="hybridMultilevel"/>
    <w:tmpl w:val="8B2C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1DB"/>
    <w:multiLevelType w:val="hybridMultilevel"/>
    <w:tmpl w:val="C468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60528"/>
    <w:multiLevelType w:val="hybridMultilevel"/>
    <w:tmpl w:val="ED20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70F81"/>
    <w:multiLevelType w:val="hybridMultilevel"/>
    <w:tmpl w:val="D704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22156"/>
    <w:multiLevelType w:val="hybridMultilevel"/>
    <w:tmpl w:val="2C16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12BEF"/>
    <w:multiLevelType w:val="hybridMultilevel"/>
    <w:tmpl w:val="3AE4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F0D5F"/>
    <w:multiLevelType w:val="hybridMultilevel"/>
    <w:tmpl w:val="3DAA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14405"/>
    <w:multiLevelType w:val="hybridMultilevel"/>
    <w:tmpl w:val="5F2A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72C44"/>
    <w:multiLevelType w:val="hybridMultilevel"/>
    <w:tmpl w:val="DDB8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37709"/>
    <w:multiLevelType w:val="hybridMultilevel"/>
    <w:tmpl w:val="CDE6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2683D"/>
    <w:multiLevelType w:val="hybridMultilevel"/>
    <w:tmpl w:val="539A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5302E"/>
    <w:multiLevelType w:val="hybridMultilevel"/>
    <w:tmpl w:val="179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C0A41"/>
    <w:multiLevelType w:val="hybridMultilevel"/>
    <w:tmpl w:val="D752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812E3"/>
    <w:multiLevelType w:val="hybridMultilevel"/>
    <w:tmpl w:val="812E5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91648"/>
    <w:multiLevelType w:val="hybridMultilevel"/>
    <w:tmpl w:val="EC88E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E11DC"/>
    <w:multiLevelType w:val="hybridMultilevel"/>
    <w:tmpl w:val="97EC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B7BAD"/>
    <w:multiLevelType w:val="hybridMultilevel"/>
    <w:tmpl w:val="D5C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B15D7"/>
    <w:multiLevelType w:val="hybridMultilevel"/>
    <w:tmpl w:val="FDC0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22F4C"/>
    <w:multiLevelType w:val="hybridMultilevel"/>
    <w:tmpl w:val="5BA6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5490D"/>
    <w:multiLevelType w:val="hybridMultilevel"/>
    <w:tmpl w:val="52FC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17866"/>
    <w:multiLevelType w:val="hybridMultilevel"/>
    <w:tmpl w:val="7D18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A07F09"/>
    <w:multiLevelType w:val="hybridMultilevel"/>
    <w:tmpl w:val="A448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F2C21"/>
    <w:multiLevelType w:val="hybridMultilevel"/>
    <w:tmpl w:val="9A86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D25EA"/>
    <w:multiLevelType w:val="hybridMultilevel"/>
    <w:tmpl w:val="37D6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F35ED"/>
    <w:multiLevelType w:val="hybridMultilevel"/>
    <w:tmpl w:val="1058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17DC8"/>
    <w:multiLevelType w:val="hybridMultilevel"/>
    <w:tmpl w:val="7C1E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45386"/>
    <w:multiLevelType w:val="hybridMultilevel"/>
    <w:tmpl w:val="04F6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66470"/>
    <w:multiLevelType w:val="hybridMultilevel"/>
    <w:tmpl w:val="949E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3"/>
  </w:num>
  <w:num w:numId="4">
    <w:abstractNumId w:val="28"/>
  </w:num>
  <w:num w:numId="5">
    <w:abstractNumId w:val="4"/>
  </w:num>
  <w:num w:numId="6">
    <w:abstractNumId w:val="25"/>
  </w:num>
  <w:num w:numId="7">
    <w:abstractNumId w:val="13"/>
  </w:num>
  <w:num w:numId="8">
    <w:abstractNumId w:val="1"/>
  </w:num>
  <w:num w:numId="9">
    <w:abstractNumId w:val="18"/>
  </w:num>
  <w:num w:numId="10">
    <w:abstractNumId w:val="20"/>
  </w:num>
  <w:num w:numId="11">
    <w:abstractNumId w:val="27"/>
  </w:num>
  <w:num w:numId="12">
    <w:abstractNumId w:val="22"/>
  </w:num>
  <w:num w:numId="13">
    <w:abstractNumId w:val="24"/>
  </w:num>
  <w:num w:numId="14">
    <w:abstractNumId w:val="15"/>
  </w:num>
  <w:num w:numId="15">
    <w:abstractNumId w:val="9"/>
  </w:num>
  <w:num w:numId="16">
    <w:abstractNumId w:val="12"/>
  </w:num>
  <w:num w:numId="17">
    <w:abstractNumId w:val="17"/>
  </w:num>
  <w:num w:numId="18">
    <w:abstractNumId w:val="8"/>
  </w:num>
  <w:num w:numId="19">
    <w:abstractNumId w:val="6"/>
  </w:num>
  <w:num w:numId="20">
    <w:abstractNumId w:val="3"/>
  </w:num>
  <w:num w:numId="21">
    <w:abstractNumId w:val="11"/>
  </w:num>
  <w:num w:numId="22">
    <w:abstractNumId w:val="0"/>
  </w:num>
  <w:num w:numId="23">
    <w:abstractNumId w:val="21"/>
  </w:num>
  <w:num w:numId="24">
    <w:abstractNumId w:val="10"/>
  </w:num>
  <w:num w:numId="25">
    <w:abstractNumId w:val="14"/>
  </w:num>
  <w:num w:numId="26">
    <w:abstractNumId w:val="19"/>
  </w:num>
  <w:num w:numId="27">
    <w:abstractNumId w:val="2"/>
  </w:num>
  <w:num w:numId="28">
    <w:abstractNumId w:val="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45"/>
    <w:rsid w:val="00042F45"/>
    <w:rsid w:val="001B32F4"/>
    <w:rsid w:val="002331D1"/>
    <w:rsid w:val="00252D95"/>
    <w:rsid w:val="002B7EB5"/>
    <w:rsid w:val="002C74FF"/>
    <w:rsid w:val="00313ECD"/>
    <w:rsid w:val="003B0719"/>
    <w:rsid w:val="004273B6"/>
    <w:rsid w:val="004644F6"/>
    <w:rsid w:val="005642BB"/>
    <w:rsid w:val="006D65D6"/>
    <w:rsid w:val="007058B7"/>
    <w:rsid w:val="0072096C"/>
    <w:rsid w:val="007C0FF6"/>
    <w:rsid w:val="00865AF1"/>
    <w:rsid w:val="00885174"/>
    <w:rsid w:val="00952736"/>
    <w:rsid w:val="00A53FE9"/>
    <w:rsid w:val="00A921FE"/>
    <w:rsid w:val="00BC446A"/>
    <w:rsid w:val="00C07E28"/>
    <w:rsid w:val="00CA4272"/>
    <w:rsid w:val="00D70759"/>
    <w:rsid w:val="00D958FD"/>
    <w:rsid w:val="00DB4DE6"/>
    <w:rsid w:val="00DD4405"/>
    <w:rsid w:val="00E63569"/>
    <w:rsid w:val="00E90830"/>
    <w:rsid w:val="00EF2C14"/>
    <w:rsid w:val="00F07480"/>
    <w:rsid w:val="00F12813"/>
    <w:rsid w:val="00FE25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393F4"/>
  <w15:chartTrackingRefBased/>
  <w15:docId w15:val="{6300411B-3F63-45FB-8197-45ACAAA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F45"/>
    <w:pPr>
      <w:ind w:left="720"/>
      <w:contextualSpacing/>
    </w:pPr>
  </w:style>
  <w:style w:type="paragraph" w:styleId="NormalWeb">
    <w:name w:val="Normal (Web)"/>
    <w:basedOn w:val="Normal"/>
    <w:uiPriority w:val="99"/>
    <w:unhideWhenUsed/>
    <w:rsid w:val="00E90830"/>
    <w:pPr>
      <w:spacing w:before="100" w:beforeAutospacing="1" w:after="100" w:afterAutospacing="1" w:line="240" w:lineRule="auto"/>
    </w:pPr>
    <w:rPr>
      <w:rFonts w:ascii="Times New Roman" w:eastAsia="Times New Roman" w:hAnsi="Times New Roman" w:cs="Times New Roman"/>
      <w:sz w:val="24"/>
      <w:szCs w:val="24"/>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5261">
      <w:bodyDiv w:val="1"/>
      <w:marLeft w:val="0"/>
      <w:marRight w:val="0"/>
      <w:marTop w:val="0"/>
      <w:marBottom w:val="0"/>
      <w:divBdr>
        <w:top w:val="none" w:sz="0" w:space="0" w:color="auto"/>
        <w:left w:val="none" w:sz="0" w:space="0" w:color="auto"/>
        <w:bottom w:val="none" w:sz="0" w:space="0" w:color="auto"/>
        <w:right w:val="none" w:sz="0" w:space="0" w:color="auto"/>
      </w:divBdr>
    </w:div>
    <w:div w:id="124588297">
      <w:bodyDiv w:val="1"/>
      <w:marLeft w:val="0"/>
      <w:marRight w:val="0"/>
      <w:marTop w:val="0"/>
      <w:marBottom w:val="0"/>
      <w:divBdr>
        <w:top w:val="none" w:sz="0" w:space="0" w:color="auto"/>
        <w:left w:val="none" w:sz="0" w:space="0" w:color="auto"/>
        <w:bottom w:val="none" w:sz="0" w:space="0" w:color="auto"/>
        <w:right w:val="none" w:sz="0" w:space="0" w:color="auto"/>
      </w:divBdr>
    </w:div>
    <w:div w:id="257298513">
      <w:bodyDiv w:val="1"/>
      <w:marLeft w:val="0"/>
      <w:marRight w:val="0"/>
      <w:marTop w:val="0"/>
      <w:marBottom w:val="0"/>
      <w:divBdr>
        <w:top w:val="none" w:sz="0" w:space="0" w:color="auto"/>
        <w:left w:val="none" w:sz="0" w:space="0" w:color="auto"/>
        <w:bottom w:val="none" w:sz="0" w:space="0" w:color="auto"/>
        <w:right w:val="none" w:sz="0" w:space="0" w:color="auto"/>
      </w:divBdr>
    </w:div>
    <w:div w:id="272251581">
      <w:bodyDiv w:val="1"/>
      <w:marLeft w:val="0"/>
      <w:marRight w:val="0"/>
      <w:marTop w:val="0"/>
      <w:marBottom w:val="0"/>
      <w:divBdr>
        <w:top w:val="none" w:sz="0" w:space="0" w:color="auto"/>
        <w:left w:val="none" w:sz="0" w:space="0" w:color="auto"/>
        <w:bottom w:val="none" w:sz="0" w:space="0" w:color="auto"/>
        <w:right w:val="none" w:sz="0" w:space="0" w:color="auto"/>
      </w:divBdr>
    </w:div>
    <w:div w:id="736249347">
      <w:bodyDiv w:val="1"/>
      <w:marLeft w:val="0"/>
      <w:marRight w:val="0"/>
      <w:marTop w:val="0"/>
      <w:marBottom w:val="0"/>
      <w:divBdr>
        <w:top w:val="none" w:sz="0" w:space="0" w:color="auto"/>
        <w:left w:val="none" w:sz="0" w:space="0" w:color="auto"/>
        <w:bottom w:val="none" w:sz="0" w:space="0" w:color="auto"/>
        <w:right w:val="none" w:sz="0" w:space="0" w:color="auto"/>
      </w:divBdr>
    </w:div>
    <w:div w:id="1019307930">
      <w:bodyDiv w:val="1"/>
      <w:marLeft w:val="0"/>
      <w:marRight w:val="0"/>
      <w:marTop w:val="0"/>
      <w:marBottom w:val="0"/>
      <w:divBdr>
        <w:top w:val="none" w:sz="0" w:space="0" w:color="auto"/>
        <w:left w:val="none" w:sz="0" w:space="0" w:color="auto"/>
        <w:bottom w:val="none" w:sz="0" w:space="0" w:color="auto"/>
        <w:right w:val="none" w:sz="0" w:space="0" w:color="auto"/>
      </w:divBdr>
    </w:div>
    <w:div w:id="1277828657">
      <w:bodyDiv w:val="1"/>
      <w:marLeft w:val="0"/>
      <w:marRight w:val="0"/>
      <w:marTop w:val="0"/>
      <w:marBottom w:val="0"/>
      <w:divBdr>
        <w:top w:val="none" w:sz="0" w:space="0" w:color="auto"/>
        <w:left w:val="none" w:sz="0" w:space="0" w:color="auto"/>
        <w:bottom w:val="none" w:sz="0" w:space="0" w:color="auto"/>
        <w:right w:val="none" w:sz="0" w:space="0" w:color="auto"/>
      </w:divBdr>
    </w:div>
    <w:div w:id="1307658817">
      <w:bodyDiv w:val="1"/>
      <w:marLeft w:val="0"/>
      <w:marRight w:val="0"/>
      <w:marTop w:val="0"/>
      <w:marBottom w:val="0"/>
      <w:divBdr>
        <w:top w:val="none" w:sz="0" w:space="0" w:color="auto"/>
        <w:left w:val="none" w:sz="0" w:space="0" w:color="auto"/>
        <w:bottom w:val="none" w:sz="0" w:space="0" w:color="auto"/>
        <w:right w:val="none" w:sz="0" w:space="0" w:color="auto"/>
      </w:divBdr>
    </w:div>
    <w:div w:id="1403790130">
      <w:bodyDiv w:val="1"/>
      <w:marLeft w:val="0"/>
      <w:marRight w:val="0"/>
      <w:marTop w:val="0"/>
      <w:marBottom w:val="0"/>
      <w:divBdr>
        <w:top w:val="none" w:sz="0" w:space="0" w:color="auto"/>
        <w:left w:val="none" w:sz="0" w:space="0" w:color="auto"/>
        <w:bottom w:val="none" w:sz="0" w:space="0" w:color="auto"/>
        <w:right w:val="none" w:sz="0" w:space="0" w:color="auto"/>
      </w:divBdr>
    </w:div>
    <w:div w:id="1756394130">
      <w:bodyDiv w:val="1"/>
      <w:marLeft w:val="0"/>
      <w:marRight w:val="0"/>
      <w:marTop w:val="0"/>
      <w:marBottom w:val="0"/>
      <w:divBdr>
        <w:top w:val="none" w:sz="0" w:space="0" w:color="auto"/>
        <w:left w:val="none" w:sz="0" w:space="0" w:color="auto"/>
        <w:bottom w:val="none" w:sz="0" w:space="0" w:color="auto"/>
        <w:right w:val="none" w:sz="0" w:space="0" w:color="auto"/>
      </w:divBdr>
    </w:div>
    <w:div w:id="210714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DB58-4A12-4076-99FB-5EC3B5B2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Universiteit Hasselt</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Yessika</dc:creator>
  <cp:keywords/>
  <dc:description/>
  <cp:lastModifiedBy>NATALIA Yessika</cp:lastModifiedBy>
  <cp:revision>22</cp:revision>
  <dcterms:created xsi:type="dcterms:W3CDTF">2022-10-12T19:28:00Z</dcterms:created>
  <dcterms:modified xsi:type="dcterms:W3CDTF">2023-03-28T12:54:00Z</dcterms:modified>
</cp:coreProperties>
</file>