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7C601" w14:textId="77777777" w:rsidR="009316EF" w:rsidRDefault="009316EF" w:rsidP="009316EF">
      <w:r>
        <w:rPr>
          <w:b/>
        </w:rPr>
        <w:t>Supplementary Figures:</w:t>
      </w:r>
      <w:r>
        <w:rPr>
          <w:b/>
        </w:rPr>
        <w:br/>
      </w:r>
    </w:p>
    <w:p w14:paraId="66B3DD6B" w14:textId="77777777" w:rsidR="009316EF" w:rsidRDefault="009316EF" w:rsidP="009316EF"/>
    <w:p w14:paraId="1D422F89" w14:textId="77777777" w:rsidR="009316EF" w:rsidRDefault="009316EF" w:rsidP="009316EF">
      <w:r>
        <w:rPr>
          <w:noProof/>
        </w:rPr>
        <w:drawing>
          <wp:inline distT="114300" distB="114300" distL="114300" distR="114300" wp14:anchorId="59CCF9E0" wp14:editId="279AF68B">
            <wp:extent cx="6119813" cy="7478386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13" cy="7478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265032" w14:textId="77777777" w:rsidR="009316EF" w:rsidRDefault="009316EF" w:rsidP="009316EF">
      <w:r>
        <w:rPr>
          <w:b/>
        </w:rPr>
        <w:t>Figure S1:</w:t>
      </w:r>
      <w:r>
        <w:t xml:space="preserve"> Same as Figure 2 but for DJF.</w:t>
      </w:r>
    </w:p>
    <w:p w14:paraId="4BDF5532" w14:textId="77777777" w:rsidR="009316EF" w:rsidRDefault="009316EF" w:rsidP="009316EF"/>
    <w:p w14:paraId="51D4407F" w14:textId="77777777" w:rsidR="009316EF" w:rsidRDefault="009316EF" w:rsidP="009316EF"/>
    <w:p w14:paraId="56BB201A" w14:textId="77777777" w:rsidR="009316EF" w:rsidRDefault="009316EF" w:rsidP="009316EF">
      <w:r>
        <w:rPr>
          <w:noProof/>
        </w:rPr>
        <w:drawing>
          <wp:inline distT="114300" distB="114300" distL="114300" distR="114300" wp14:anchorId="7EF1091C" wp14:editId="7FF77679">
            <wp:extent cx="6196013" cy="7718461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6013" cy="7718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CB68B9" w14:textId="77777777" w:rsidR="009316EF" w:rsidRDefault="009316EF" w:rsidP="009316EF">
      <w:r>
        <w:rPr>
          <w:b/>
        </w:rPr>
        <w:lastRenderedPageBreak/>
        <w:t>Figure S2:</w:t>
      </w:r>
      <w:r>
        <w:t xml:space="preserve"> Same as Figure 2 but for JJA.</w:t>
      </w:r>
    </w:p>
    <w:p w14:paraId="0D7D74E6" w14:textId="77777777" w:rsidR="009316EF" w:rsidRDefault="009316EF" w:rsidP="009316EF"/>
    <w:p w14:paraId="20FA606A" w14:textId="77777777" w:rsidR="009316EF" w:rsidRDefault="009316EF" w:rsidP="009316EF">
      <w:r>
        <w:rPr>
          <w:noProof/>
        </w:rPr>
        <w:drawing>
          <wp:inline distT="114300" distB="114300" distL="114300" distR="114300" wp14:anchorId="5388F12C" wp14:editId="47991082">
            <wp:extent cx="5943600" cy="445770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b/>
        </w:rPr>
        <w:t>Figure S3:</w:t>
      </w:r>
      <w:r>
        <w:t xml:space="preserve"> Regions over which ACC is calculated in Figure 4: North America (170</w:t>
      </w:r>
      <w:r>
        <w:rPr>
          <w:vertAlign w:val="superscript"/>
        </w:rPr>
        <w:t>o</w:t>
      </w:r>
      <w:r>
        <w:t>W-55</w:t>
      </w:r>
      <w:r>
        <w:rPr>
          <w:vertAlign w:val="superscript"/>
        </w:rPr>
        <w:t>o</w:t>
      </w:r>
      <w:r>
        <w:t>W, 15</w:t>
      </w:r>
      <w:r>
        <w:rPr>
          <w:vertAlign w:val="superscript"/>
        </w:rPr>
        <w:t>o</w:t>
      </w:r>
      <w:r>
        <w:t>N-75</w:t>
      </w:r>
      <w:r>
        <w:rPr>
          <w:vertAlign w:val="superscript"/>
        </w:rPr>
        <w:t>o</w:t>
      </w:r>
      <w:r>
        <w:t>N), South America (85</w:t>
      </w:r>
      <w:r>
        <w:rPr>
          <w:vertAlign w:val="superscript"/>
        </w:rPr>
        <w:t>o</w:t>
      </w:r>
      <w:r>
        <w:t>W-30</w:t>
      </w:r>
      <w:r>
        <w:rPr>
          <w:vertAlign w:val="superscript"/>
        </w:rPr>
        <w:t>o</w:t>
      </w:r>
      <w:r>
        <w:t>W, 55</w:t>
      </w:r>
      <w:r>
        <w:rPr>
          <w:vertAlign w:val="superscript"/>
        </w:rPr>
        <w:t>o</w:t>
      </w:r>
      <w:r>
        <w:t>S-15</w:t>
      </w:r>
      <w:r>
        <w:rPr>
          <w:vertAlign w:val="superscript"/>
        </w:rPr>
        <w:t>o</w:t>
      </w:r>
      <w:r>
        <w:t>N), Europe(15</w:t>
      </w:r>
      <w:r>
        <w:rPr>
          <w:vertAlign w:val="superscript"/>
        </w:rPr>
        <w:t>o</w:t>
      </w:r>
      <w:r>
        <w:t>W-60</w:t>
      </w:r>
      <w:r>
        <w:rPr>
          <w:vertAlign w:val="superscript"/>
        </w:rPr>
        <w:t>o</w:t>
      </w:r>
      <w:r>
        <w:t>E, 35</w:t>
      </w:r>
      <w:r>
        <w:rPr>
          <w:vertAlign w:val="superscript"/>
        </w:rPr>
        <w:t>o</w:t>
      </w:r>
      <w:r>
        <w:t>N-75</w:t>
      </w:r>
      <w:r>
        <w:rPr>
          <w:vertAlign w:val="superscript"/>
        </w:rPr>
        <w:t>o</w:t>
      </w:r>
      <w:r>
        <w:t>N), Africa (20</w:t>
      </w:r>
      <w:r>
        <w:rPr>
          <w:vertAlign w:val="superscript"/>
        </w:rPr>
        <w:t>o</w:t>
      </w:r>
      <w:r>
        <w:t>W-60</w:t>
      </w:r>
      <w:r>
        <w:rPr>
          <w:vertAlign w:val="superscript"/>
        </w:rPr>
        <w:t>o</w:t>
      </w:r>
      <w:r>
        <w:t>E, 40</w:t>
      </w:r>
      <w:r>
        <w:rPr>
          <w:vertAlign w:val="superscript"/>
        </w:rPr>
        <w:t>o</w:t>
      </w:r>
      <w:r>
        <w:t>S-35</w:t>
      </w:r>
      <w:r>
        <w:rPr>
          <w:vertAlign w:val="superscript"/>
        </w:rPr>
        <w:t>o</w:t>
      </w:r>
      <w:r>
        <w:t>N), Asia (60</w:t>
      </w:r>
      <w:r>
        <w:rPr>
          <w:vertAlign w:val="superscript"/>
        </w:rPr>
        <w:t>o</w:t>
      </w:r>
      <w:r>
        <w:t>E-180</w:t>
      </w:r>
      <w:r>
        <w:rPr>
          <w:vertAlign w:val="superscript"/>
        </w:rPr>
        <w:t>o</w:t>
      </w:r>
      <w:r>
        <w:t>E, 10</w:t>
      </w:r>
      <w:r>
        <w:rPr>
          <w:vertAlign w:val="superscript"/>
        </w:rPr>
        <w:t>o</w:t>
      </w:r>
      <w:r>
        <w:t>N-75</w:t>
      </w:r>
      <w:r>
        <w:rPr>
          <w:vertAlign w:val="superscript"/>
        </w:rPr>
        <w:t>o</w:t>
      </w:r>
      <w:r>
        <w:t>N), and SE Asia/Australia (95</w:t>
      </w:r>
      <w:r>
        <w:rPr>
          <w:vertAlign w:val="superscript"/>
        </w:rPr>
        <w:t>o</w:t>
      </w:r>
      <w:r>
        <w:t>E-180</w:t>
      </w:r>
      <w:r>
        <w:rPr>
          <w:vertAlign w:val="superscript"/>
        </w:rPr>
        <w:t>o</w:t>
      </w:r>
      <w:r>
        <w:t>E, 50</w:t>
      </w:r>
      <w:r>
        <w:rPr>
          <w:vertAlign w:val="superscript"/>
        </w:rPr>
        <w:t>o</w:t>
      </w:r>
      <w:r>
        <w:t>S-10</w:t>
      </w:r>
      <w:r>
        <w:rPr>
          <w:vertAlign w:val="superscript"/>
        </w:rPr>
        <w:t>o</w:t>
      </w:r>
      <w:r>
        <w:t>N). Note that ACC is only calculated over land regions in the depicted rectangles. The North American boundary follows that used by previous studies (Pegion et al. 2019).</w:t>
      </w:r>
    </w:p>
    <w:p w14:paraId="40519993" w14:textId="77777777" w:rsidR="009316EF" w:rsidRDefault="009316EF" w:rsidP="009316EF"/>
    <w:p w14:paraId="157D78CB" w14:textId="77777777" w:rsidR="009316EF" w:rsidRDefault="009316EF" w:rsidP="009316EF">
      <w:r>
        <w:br w:type="page"/>
      </w:r>
    </w:p>
    <w:p w14:paraId="098FB5CD" w14:textId="77777777" w:rsidR="009316EF" w:rsidRDefault="009316EF" w:rsidP="009316EF">
      <w:pPr>
        <w:jc w:val="both"/>
      </w:pPr>
    </w:p>
    <w:p w14:paraId="693E39D5" w14:textId="77777777" w:rsidR="009316EF" w:rsidRDefault="009316EF" w:rsidP="009316EF">
      <w:pPr>
        <w:jc w:val="both"/>
      </w:pPr>
      <w:r>
        <w:rPr>
          <w:noProof/>
        </w:rPr>
        <w:drawing>
          <wp:inline distT="114300" distB="114300" distL="114300" distR="114300" wp14:anchorId="561B17CD" wp14:editId="686D05BC">
            <wp:extent cx="5943600" cy="3470863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t="18831" b="228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0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DA1B5" w14:textId="77777777" w:rsidR="009316EF" w:rsidRDefault="009316EF" w:rsidP="009316EF">
      <w:pPr>
        <w:jc w:val="both"/>
      </w:pPr>
    </w:p>
    <w:p w14:paraId="3E7163DC" w14:textId="77777777" w:rsidR="009316EF" w:rsidRDefault="009316EF" w:rsidP="009316EF"/>
    <w:p w14:paraId="1F10D739" w14:textId="77777777" w:rsidR="009316EF" w:rsidRDefault="009316EF" w:rsidP="009316EF">
      <w:pPr>
        <w:jc w:val="both"/>
      </w:pPr>
      <w:r>
        <w:rPr>
          <w:b/>
        </w:rPr>
        <w:t>Figure S4</w:t>
      </w:r>
      <w:r>
        <w:t xml:space="preserve">: Land soil moisture (root zone) anomaly correlations for ERA5 and CLM5 from 1999 to 2021. Anomalies were calculated by removing a daily smoothed climatology. Stippling shows where the correlation is significant at the 99% confidence level. </w:t>
      </w:r>
    </w:p>
    <w:p w14:paraId="641D798D" w14:textId="77777777" w:rsidR="009316EF" w:rsidRDefault="009316EF" w:rsidP="009316EF">
      <w:pPr>
        <w:jc w:val="both"/>
      </w:pPr>
    </w:p>
    <w:p w14:paraId="7E9A8CA8" w14:textId="77777777" w:rsidR="000D4074" w:rsidRDefault="000D4074"/>
    <w:sectPr w:rsidR="000D4074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FD93" w14:textId="77777777" w:rsidR="00FE0BA7" w:rsidRDefault="009316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EF"/>
    <w:rsid w:val="000D4074"/>
    <w:rsid w:val="001E4B73"/>
    <w:rsid w:val="005314AC"/>
    <w:rsid w:val="009316EF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35C9"/>
  <w15:chartTrackingRefBased/>
  <w15:docId w15:val="{D9C5493C-B82A-4D5D-97DF-A65A4602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6EF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</Words>
  <Characters>699</Characters>
  <Application>Microsoft Office Word</Application>
  <DocSecurity>0</DocSecurity>
  <Lines>5</Lines>
  <Paragraphs>1</Paragraphs>
  <ScaleCrop>false</ScaleCrop>
  <Company>Springer Nature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2023-07-27T12:32:00Z</dcterms:created>
  <dcterms:modified xsi:type="dcterms:W3CDTF">2023-07-27T12:32:00Z</dcterms:modified>
</cp:coreProperties>
</file>