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A9EE" w14:textId="5EF08BB2" w:rsidR="008C6BD5" w:rsidRPr="0000537A" w:rsidRDefault="007D1FF4" w:rsidP="008C6BD5">
      <w:pPr>
        <w:ind w:left="720"/>
        <w:jc w:val="center"/>
        <w:rPr>
          <w:sz w:val="24"/>
          <w:szCs w:val="24"/>
          <w:lang w:val="en-GB"/>
        </w:rPr>
      </w:pPr>
      <w:r w:rsidRPr="0000537A">
        <w:rPr>
          <w:sz w:val="24"/>
          <w:szCs w:val="24"/>
        </w:rPr>
        <w:object w:dxaOrig="8491" w:dyaOrig="5828" w14:anchorId="7B7A03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15pt;height:187.95pt;mso-position-horizontal:left" o:ole="">
            <v:imagedata r:id="rId4" o:title=""/>
          </v:shape>
          <o:OLEObject Type="Embed" ProgID="Word.Picture.8" ShapeID="_x0000_i1025" DrawAspect="Content" ObjectID="_1747573083" r:id="rId5"/>
        </w:object>
      </w:r>
    </w:p>
    <w:p w14:paraId="6957C8EE" w14:textId="77777777" w:rsidR="008C6BD5" w:rsidRDefault="008C6BD5" w:rsidP="008C6BD5">
      <w:pPr>
        <w:ind w:left="720"/>
        <w:rPr>
          <w:b/>
          <w:bCs/>
          <w:sz w:val="24"/>
          <w:szCs w:val="24"/>
        </w:rPr>
      </w:pPr>
    </w:p>
    <w:p w14:paraId="5A79B0DF" w14:textId="77777777" w:rsidR="004C5EAF" w:rsidRDefault="004C5EAF" w:rsidP="008C6BD5">
      <w:pPr>
        <w:spacing w:line="480" w:lineRule="auto"/>
        <w:rPr>
          <w:b/>
          <w:bCs/>
          <w:sz w:val="24"/>
          <w:szCs w:val="24"/>
        </w:rPr>
      </w:pPr>
    </w:p>
    <w:p w14:paraId="67C43883" w14:textId="331326C4" w:rsidR="008C6BD5" w:rsidRDefault="008C6BD5" w:rsidP="008C6BD5">
      <w:pPr>
        <w:spacing w:line="480" w:lineRule="auto"/>
        <w:rPr>
          <w:sz w:val="24"/>
          <w:szCs w:val="24"/>
        </w:rPr>
      </w:pPr>
      <w:r w:rsidRPr="00F560A6">
        <w:rPr>
          <w:b/>
          <w:bCs/>
          <w:sz w:val="24"/>
          <w:szCs w:val="24"/>
        </w:rPr>
        <w:t>Fig. S1. Schematics of the scattering set up employed in the HRBS experiments.</w:t>
      </w:r>
      <w:r w:rsidRPr="0000537A">
        <w:rPr>
          <w:sz w:val="24"/>
          <w:szCs w:val="24"/>
        </w:rPr>
        <w:t xml:space="preserve"> In this scattering set up there are two scattering geometries appearing simultaneously, the pure backscattering (180º) and the 2</w:t>
      </w:r>
      <w:r>
        <w:rPr>
          <w:sz w:val="24"/>
          <w:szCs w:val="24"/>
        </w:rPr>
        <w:sym w:font="Symbol" w:char="F061"/>
      </w:r>
      <w:r w:rsidRPr="0000537A">
        <w:rPr>
          <w:sz w:val="24"/>
          <w:szCs w:val="24"/>
        </w:rPr>
        <w:t>A scattering geometry.  M: mirror. S: film sample. R: Reflecting substrate (Si). N: normal to the substrate/sample plane and axis of rotation. k</w:t>
      </w:r>
      <w:r w:rsidRPr="0000537A">
        <w:rPr>
          <w:sz w:val="24"/>
          <w:szCs w:val="24"/>
          <w:vertAlign w:val="subscript"/>
        </w:rPr>
        <w:t>i</w:t>
      </w:r>
      <w:r w:rsidRPr="0000537A">
        <w:rPr>
          <w:sz w:val="24"/>
          <w:szCs w:val="24"/>
        </w:rPr>
        <w:t xml:space="preserve"> and </w:t>
      </w:r>
      <w:proofErr w:type="spellStart"/>
      <w:r w:rsidRPr="0000537A">
        <w:rPr>
          <w:sz w:val="24"/>
          <w:szCs w:val="24"/>
        </w:rPr>
        <w:t>k</w:t>
      </w:r>
      <w:r w:rsidRPr="0000537A">
        <w:rPr>
          <w:sz w:val="24"/>
          <w:szCs w:val="24"/>
          <w:vertAlign w:val="subscript"/>
        </w:rPr>
        <w:t>s</w:t>
      </w:r>
      <w:proofErr w:type="spellEnd"/>
      <w:r w:rsidRPr="0000537A">
        <w:rPr>
          <w:sz w:val="24"/>
          <w:szCs w:val="24"/>
        </w:rPr>
        <w:t xml:space="preserve"> are the incident and scattered laser wave vectors, respectively. q</w:t>
      </w:r>
      <w:r w:rsidRPr="0000537A">
        <w:rPr>
          <w:sz w:val="24"/>
          <w:szCs w:val="24"/>
          <w:vertAlign w:val="superscript"/>
        </w:rPr>
        <w:t>180</w:t>
      </w:r>
      <w:r w:rsidRPr="0000537A">
        <w:rPr>
          <w:sz w:val="24"/>
          <w:szCs w:val="24"/>
        </w:rPr>
        <w:t xml:space="preserve"> and q</w:t>
      </w:r>
      <w:r w:rsidRPr="0000537A">
        <w:rPr>
          <w:sz w:val="24"/>
          <w:szCs w:val="24"/>
          <w:vertAlign w:val="superscript"/>
        </w:rPr>
        <w:t>2</w:t>
      </w:r>
      <w:r w:rsidR="00D3680E">
        <w:rPr>
          <w:sz w:val="24"/>
          <w:szCs w:val="24"/>
          <w:vertAlign w:val="superscript"/>
        </w:rPr>
        <w:sym w:font="Symbol" w:char="F061"/>
      </w:r>
      <w:r w:rsidRPr="0000537A">
        <w:rPr>
          <w:sz w:val="24"/>
          <w:szCs w:val="24"/>
          <w:vertAlign w:val="superscript"/>
        </w:rPr>
        <w:t>A</w:t>
      </w:r>
      <w:r w:rsidRPr="0000537A">
        <w:rPr>
          <w:sz w:val="24"/>
          <w:szCs w:val="24"/>
          <w:vertAlign w:val="subscript"/>
        </w:rPr>
        <w:t xml:space="preserve"> </w:t>
      </w:r>
      <w:r w:rsidRPr="0000537A">
        <w:rPr>
          <w:sz w:val="24"/>
          <w:szCs w:val="24"/>
        </w:rPr>
        <w:t xml:space="preserve">are the corresponding acoustic wave vectors. </w:t>
      </w:r>
    </w:p>
    <w:p w14:paraId="4CCCF90D" w14:textId="78AFE3E6" w:rsidR="008C6BD5" w:rsidRDefault="008C6BD5">
      <w:pPr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B60AE09" w14:textId="0B4A7C5B" w:rsidR="008C6BD5" w:rsidRDefault="008C6BD5" w:rsidP="008C6BD5">
      <w:pPr>
        <w:ind w:left="720"/>
        <w:rPr>
          <w:sz w:val="24"/>
          <w:szCs w:val="24"/>
        </w:rPr>
      </w:pPr>
      <w:r w:rsidRPr="00132F76">
        <w:rPr>
          <w:noProof/>
          <w:sz w:val="24"/>
          <w:szCs w:val="24"/>
          <w:lang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05B5C0AF" wp14:editId="58C6ADBE">
            <wp:simplePos x="0" y="0"/>
            <wp:positionH relativeFrom="margin">
              <wp:posOffset>-71294</wp:posOffset>
            </wp:positionH>
            <wp:positionV relativeFrom="paragraph">
              <wp:posOffset>176530</wp:posOffset>
            </wp:positionV>
            <wp:extent cx="3696635" cy="2869127"/>
            <wp:effectExtent l="0" t="0" r="0" b="7620"/>
            <wp:wrapNone/>
            <wp:docPr id="1366675283" name="Imagen 1366675283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558522" name="Imagen 1" descr="Gráfico, Gráfico de dispers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8" t="8192" r="11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635" cy="2869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5A5498" w14:textId="19DD13BC" w:rsidR="008C6BD5" w:rsidRDefault="008C6BD5" w:rsidP="008C6BD5">
      <w:pPr>
        <w:ind w:left="720"/>
        <w:rPr>
          <w:sz w:val="24"/>
          <w:szCs w:val="24"/>
        </w:rPr>
      </w:pPr>
      <w:r w:rsidRPr="00132F76"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7B4BAEA0" wp14:editId="7C992CAA">
            <wp:simplePos x="0" y="0"/>
            <wp:positionH relativeFrom="margin">
              <wp:posOffset>3647062</wp:posOffset>
            </wp:positionH>
            <wp:positionV relativeFrom="paragraph">
              <wp:posOffset>57459</wp:posOffset>
            </wp:positionV>
            <wp:extent cx="1539380" cy="2636053"/>
            <wp:effectExtent l="0" t="0" r="3810" b="0"/>
            <wp:wrapNone/>
            <wp:docPr id="2062945084" name="Imagen 2062945084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126225" name="Imagen 2" descr="Imagen que contiene 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919" cy="264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083978" w14:textId="03CB7170" w:rsidR="008C6BD5" w:rsidRDefault="008C6BD5" w:rsidP="008C6BD5">
      <w:pPr>
        <w:ind w:left="720"/>
        <w:rPr>
          <w:sz w:val="24"/>
          <w:szCs w:val="24"/>
        </w:rPr>
      </w:pPr>
    </w:p>
    <w:p w14:paraId="3104962F" w14:textId="383C615F" w:rsidR="008C6BD5" w:rsidRDefault="008C6BD5" w:rsidP="008C6BD5">
      <w:pPr>
        <w:ind w:left="720"/>
        <w:rPr>
          <w:sz w:val="24"/>
          <w:szCs w:val="24"/>
        </w:rPr>
      </w:pPr>
    </w:p>
    <w:p w14:paraId="2F31D5D4" w14:textId="794AF04E" w:rsidR="008C6BD5" w:rsidRDefault="008C6BD5" w:rsidP="008C6BD5">
      <w:pPr>
        <w:ind w:left="720"/>
        <w:rPr>
          <w:sz w:val="24"/>
          <w:szCs w:val="24"/>
        </w:rPr>
      </w:pPr>
    </w:p>
    <w:p w14:paraId="592A94EA" w14:textId="2187F4CE" w:rsidR="008C6BD5" w:rsidRDefault="008C6BD5" w:rsidP="008C6BD5">
      <w:pPr>
        <w:ind w:left="720"/>
        <w:rPr>
          <w:sz w:val="24"/>
          <w:szCs w:val="24"/>
        </w:rPr>
      </w:pPr>
    </w:p>
    <w:p w14:paraId="7A6D39AD" w14:textId="1D2373F6" w:rsidR="008C6BD5" w:rsidRPr="0000537A" w:rsidRDefault="008C6BD5" w:rsidP="008C6BD5">
      <w:pPr>
        <w:ind w:left="720"/>
        <w:rPr>
          <w:sz w:val="24"/>
          <w:szCs w:val="24"/>
        </w:rPr>
      </w:pPr>
    </w:p>
    <w:p w14:paraId="26EB9780" w14:textId="77777777" w:rsidR="000170F5" w:rsidRDefault="000170F5"/>
    <w:p w14:paraId="68D89A82" w14:textId="77777777" w:rsidR="008C6BD5" w:rsidRDefault="008C6BD5"/>
    <w:p w14:paraId="1487475A" w14:textId="68ACD2BE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2120EE66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4C1302DB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03D4E7B9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009B9CE2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23B3D68A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61DB7558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7695B9A5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3B69C881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2FBC5318" w14:textId="77777777" w:rsidR="008C6BD5" w:rsidRDefault="008C6BD5" w:rsidP="008C6BD5">
      <w:pPr>
        <w:ind w:left="720"/>
        <w:rPr>
          <w:sz w:val="24"/>
          <w:szCs w:val="24"/>
          <w:lang w:val="en-GB"/>
        </w:rPr>
      </w:pPr>
    </w:p>
    <w:p w14:paraId="51993B37" w14:textId="77777777" w:rsidR="008C6BD5" w:rsidRPr="00132F76" w:rsidRDefault="008C6BD5" w:rsidP="008C6BD5">
      <w:pPr>
        <w:ind w:left="720"/>
        <w:rPr>
          <w:sz w:val="24"/>
          <w:szCs w:val="24"/>
          <w:lang w:val="en-GB"/>
        </w:rPr>
      </w:pPr>
    </w:p>
    <w:p w14:paraId="5066757B" w14:textId="77777777" w:rsidR="008C6BD5" w:rsidRPr="00132F76" w:rsidRDefault="008C6BD5" w:rsidP="008C6BD5">
      <w:pPr>
        <w:spacing w:line="480" w:lineRule="auto"/>
        <w:rPr>
          <w:sz w:val="24"/>
          <w:szCs w:val="24"/>
          <w:lang w:val="en-GB"/>
        </w:rPr>
      </w:pPr>
      <w:r w:rsidRPr="00D06342">
        <w:rPr>
          <w:b/>
          <w:bCs/>
          <w:sz w:val="24"/>
          <w:szCs w:val="24"/>
          <w:lang w:val="en-GB"/>
        </w:rPr>
        <w:t>Fig. S2. Check of the possible angular dependence of the Brillouin peak.</w:t>
      </w:r>
      <w:r w:rsidRPr="00132F76">
        <w:rPr>
          <w:sz w:val="24"/>
          <w:szCs w:val="24"/>
          <w:lang w:val="en-GB"/>
        </w:rPr>
        <w:t xml:space="preserve"> (</w:t>
      </w:r>
      <w:r w:rsidRPr="00D06342">
        <w:rPr>
          <w:b/>
          <w:bCs/>
          <w:sz w:val="24"/>
          <w:szCs w:val="24"/>
          <w:lang w:val="en-GB"/>
        </w:rPr>
        <w:t>a</w:t>
      </w:r>
      <w:r w:rsidRPr="00132F76">
        <w:rPr>
          <w:sz w:val="24"/>
          <w:szCs w:val="24"/>
          <w:lang w:val="en-GB"/>
        </w:rPr>
        <w:t xml:space="preserve">) Angular dependence of the Brillouin frequency shift within the sample plane for the sample grown at 0.9 </w:t>
      </w:r>
      <w:proofErr w:type="spellStart"/>
      <w:r w:rsidRPr="00132F76">
        <w:rPr>
          <w:sz w:val="24"/>
          <w:szCs w:val="24"/>
          <w:lang w:val="en-GB"/>
        </w:rPr>
        <w:t>T</w:t>
      </w:r>
      <w:r w:rsidRPr="00132F76">
        <w:rPr>
          <w:sz w:val="24"/>
          <w:szCs w:val="24"/>
          <w:vertAlign w:val="subscript"/>
          <w:lang w:val="en-GB"/>
        </w:rPr>
        <w:t>g</w:t>
      </w:r>
      <w:proofErr w:type="spellEnd"/>
      <w:r w:rsidRPr="00132F76">
        <w:rPr>
          <w:sz w:val="24"/>
          <w:szCs w:val="24"/>
          <w:lang w:val="en-GB"/>
        </w:rPr>
        <w:t>. (</w:t>
      </w:r>
      <w:r w:rsidRPr="00D06342">
        <w:rPr>
          <w:b/>
          <w:bCs/>
          <w:sz w:val="24"/>
          <w:szCs w:val="24"/>
          <w:lang w:val="en-GB"/>
        </w:rPr>
        <w:t>b</w:t>
      </w:r>
      <w:r w:rsidRPr="00132F76">
        <w:rPr>
          <w:sz w:val="24"/>
          <w:szCs w:val="24"/>
          <w:lang w:val="en-GB"/>
        </w:rPr>
        <w:t>) Schematics of the effective rotation direction of the acoustic wave vector and its changing position relative to the sample edges.</w:t>
      </w:r>
    </w:p>
    <w:p w14:paraId="2D619B15" w14:textId="77777777" w:rsidR="008C6BD5" w:rsidRPr="008C6BD5" w:rsidRDefault="008C6BD5">
      <w:pPr>
        <w:rPr>
          <w:lang w:val="en-GB"/>
        </w:rPr>
      </w:pPr>
    </w:p>
    <w:sectPr w:rsidR="008C6BD5" w:rsidRPr="008C6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BD5"/>
    <w:rsid w:val="000170F5"/>
    <w:rsid w:val="004C5EAF"/>
    <w:rsid w:val="007D1FF4"/>
    <w:rsid w:val="008C6BD5"/>
    <w:rsid w:val="00D20FB1"/>
    <w:rsid w:val="00D3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81DE"/>
  <w15:chartTrackingRefBased/>
  <w15:docId w15:val="{5F54D9B2-7876-40E7-99F6-BCEF3CE39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BD5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132</Words>
  <Characters>728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Ramos Ruiz</dc:creator>
  <cp:keywords/>
  <dc:description/>
  <cp:lastModifiedBy>Miguel Angel Ramos Ruiz</cp:lastModifiedBy>
  <cp:revision>5</cp:revision>
  <dcterms:created xsi:type="dcterms:W3CDTF">2023-06-05T11:10:00Z</dcterms:created>
  <dcterms:modified xsi:type="dcterms:W3CDTF">2023-06-06T14:12:00Z</dcterms:modified>
</cp:coreProperties>
</file>