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D6126" w14:textId="6C0772AD" w:rsidR="008E157B" w:rsidRDefault="009F2108">
      <w:pPr>
        <w:rPr>
          <w:lang w:val="en-GB"/>
        </w:rPr>
      </w:pPr>
      <w:r w:rsidRPr="008E157B">
        <w:rPr>
          <w:lang w:val="en-GB"/>
        </w:rPr>
        <w:t>Table S…</w:t>
      </w:r>
      <w:r w:rsidR="008E157B" w:rsidRPr="008E157B">
        <w:rPr>
          <w:lang w:val="en-GB"/>
        </w:rPr>
        <w:t xml:space="preserve"> Characteristics of genes involved in pathogen response</w:t>
      </w:r>
      <w:r w:rsidR="008E157B">
        <w:rPr>
          <w:lang w:val="en-GB"/>
        </w:rPr>
        <w:t xml:space="preserve"> in the </w:t>
      </w:r>
      <w:r w:rsidR="008E157B" w:rsidRPr="008E157B">
        <w:rPr>
          <w:i/>
          <w:iCs/>
          <w:lang w:val="en-GB"/>
        </w:rPr>
        <w:t>nol12-4</w:t>
      </w:r>
      <w:r w:rsidR="008E157B">
        <w:rPr>
          <w:lang w:val="en-GB"/>
        </w:rPr>
        <w:t xml:space="preserve"> plants.</w:t>
      </w:r>
    </w:p>
    <w:p w14:paraId="41209316" w14:textId="77777777" w:rsidR="00845E23" w:rsidRDefault="00845E23">
      <w:pPr>
        <w:rPr>
          <w:lang w:val="en-GB"/>
        </w:rPr>
      </w:pPr>
    </w:p>
    <w:tbl>
      <w:tblPr>
        <w:tblStyle w:val="Tabelasiatki4akcent5"/>
        <w:tblW w:w="10485" w:type="dxa"/>
        <w:tblLook w:val="04A0" w:firstRow="1" w:lastRow="0" w:firstColumn="1" w:lastColumn="0" w:noHBand="0" w:noVBand="1"/>
      </w:tblPr>
      <w:tblGrid>
        <w:gridCol w:w="1460"/>
        <w:gridCol w:w="1260"/>
        <w:gridCol w:w="2040"/>
        <w:gridCol w:w="5725"/>
      </w:tblGrid>
      <w:tr w:rsidR="00845E23" w:rsidRPr="00845E23" w14:paraId="3B222FE2" w14:textId="77777777" w:rsidTr="00C13A7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460" w:type="dxa"/>
            <w:noWrap/>
            <w:hideMark/>
          </w:tcPr>
          <w:p w14:paraId="233802F3" w14:textId="77777777" w:rsidR="00845E23" w:rsidRPr="00845E23" w:rsidRDefault="00845E23" w:rsidP="00845E23">
            <w:pPr>
              <w:jc w:val="cente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ID</w:t>
            </w:r>
          </w:p>
        </w:tc>
        <w:tc>
          <w:tcPr>
            <w:tcW w:w="1260" w:type="dxa"/>
            <w:noWrap/>
            <w:hideMark/>
          </w:tcPr>
          <w:p w14:paraId="36D5E59E" w14:textId="45BB46BE" w:rsidR="00845E23" w:rsidRPr="00845E23" w:rsidRDefault="00CE19D5" w:rsidP="00845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proofErr w:type="spellStart"/>
            <w:r>
              <w:rPr>
                <w:rFonts w:ascii="Calibri" w:eastAsia="Times New Roman" w:hAnsi="Calibri" w:cs="Calibri"/>
                <w:color w:val="000000"/>
                <w:kern w:val="0"/>
                <w:lang w:eastAsia="pl-PL"/>
                <w14:ligatures w14:val="none"/>
              </w:rPr>
              <w:t>N</w:t>
            </w:r>
            <w:r w:rsidR="00845E23" w:rsidRPr="00845E23">
              <w:rPr>
                <w:rFonts w:ascii="Calibri" w:eastAsia="Times New Roman" w:hAnsi="Calibri" w:cs="Calibri"/>
                <w:color w:val="000000"/>
                <w:kern w:val="0"/>
                <w:lang w:eastAsia="pl-PL"/>
                <w14:ligatures w14:val="none"/>
              </w:rPr>
              <w:t>ame</w:t>
            </w:r>
            <w:proofErr w:type="spellEnd"/>
          </w:p>
        </w:tc>
        <w:tc>
          <w:tcPr>
            <w:tcW w:w="2040" w:type="dxa"/>
            <w:noWrap/>
            <w:hideMark/>
          </w:tcPr>
          <w:p w14:paraId="46D6A0DC" w14:textId="77777777" w:rsidR="00845E23" w:rsidRPr="00845E23" w:rsidRDefault="00845E23" w:rsidP="00845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log2FoldChange</w:t>
            </w:r>
          </w:p>
        </w:tc>
        <w:tc>
          <w:tcPr>
            <w:tcW w:w="5725" w:type="dxa"/>
            <w:noWrap/>
            <w:hideMark/>
          </w:tcPr>
          <w:p w14:paraId="32E5F62F" w14:textId="58A7605D" w:rsidR="00845E23" w:rsidRPr="00845E23" w:rsidRDefault="00CE19D5" w:rsidP="00845E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proofErr w:type="spellStart"/>
            <w:r>
              <w:rPr>
                <w:rFonts w:ascii="Calibri" w:eastAsia="Times New Roman" w:hAnsi="Calibri" w:cs="Calibri"/>
                <w:color w:val="000000"/>
                <w:kern w:val="0"/>
                <w:lang w:eastAsia="pl-PL"/>
                <w14:ligatures w14:val="none"/>
              </w:rPr>
              <w:t>D</w:t>
            </w:r>
            <w:r w:rsidR="00845E23" w:rsidRPr="00845E23">
              <w:rPr>
                <w:rFonts w:ascii="Calibri" w:eastAsia="Times New Roman" w:hAnsi="Calibri" w:cs="Calibri"/>
                <w:color w:val="000000"/>
                <w:kern w:val="0"/>
                <w:lang w:eastAsia="pl-PL"/>
                <w14:ligatures w14:val="none"/>
              </w:rPr>
              <w:t>escription</w:t>
            </w:r>
            <w:proofErr w:type="spellEnd"/>
          </w:p>
        </w:tc>
      </w:tr>
      <w:tr w:rsidR="00845E23" w:rsidRPr="00044B4E" w14:paraId="54CD5D67"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2993BD88"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b w:val="0"/>
                <w:bCs w:val="0"/>
                <w:kern w:val="0"/>
                <w:lang w:eastAsia="pl-PL"/>
                <w14:ligatures w14:val="none"/>
              </w:rPr>
              <w:t>AT1G02450</w:t>
            </w:r>
          </w:p>
        </w:tc>
        <w:tc>
          <w:tcPr>
            <w:tcW w:w="1260" w:type="dxa"/>
            <w:noWrap/>
            <w:vAlign w:val="center"/>
            <w:hideMark/>
          </w:tcPr>
          <w:p w14:paraId="23DAC860"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NIMIN1</w:t>
            </w:r>
          </w:p>
        </w:tc>
        <w:tc>
          <w:tcPr>
            <w:tcW w:w="2040" w:type="dxa"/>
            <w:noWrap/>
            <w:vAlign w:val="center"/>
            <w:hideMark/>
          </w:tcPr>
          <w:p w14:paraId="1B45C6AC"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-4,74</w:t>
            </w:r>
          </w:p>
        </w:tc>
        <w:tc>
          <w:tcPr>
            <w:tcW w:w="5725" w:type="dxa"/>
            <w:vAlign w:val="center"/>
            <w:hideMark/>
          </w:tcPr>
          <w:p w14:paraId="5EE36603"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NIMIN1 modulates PR gene expression according the following model: NPR1 forms a ternary complex with NIMIN1 and TGA factors upon SAR induction that binds to a positive regulatory cis-element of the PR-1 promoter, termed LS7. This leads to PR-1 gene induction. NIMIN1 decreases transcriptional activation, possibly through its EAR motif, which results in fine-tuning of PR-1 gene expression.</w:t>
            </w:r>
          </w:p>
        </w:tc>
      </w:tr>
      <w:tr w:rsidR="00845E23" w:rsidRPr="00044B4E" w14:paraId="3F328B41"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658509DD"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AT5G40990</w:t>
            </w:r>
          </w:p>
        </w:tc>
        <w:tc>
          <w:tcPr>
            <w:tcW w:w="1260" w:type="dxa"/>
            <w:noWrap/>
            <w:vAlign w:val="center"/>
            <w:hideMark/>
          </w:tcPr>
          <w:p w14:paraId="3BD84E22"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GLIP1</w:t>
            </w:r>
          </w:p>
        </w:tc>
        <w:tc>
          <w:tcPr>
            <w:tcW w:w="2040" w:type="dxa"/>
            <w:noWrap/>
            <w:vAlign w:val="center"/>
            <w:hideMark/>
          </w:tcPr>
          <w:p w14:paraId="743A48F0"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-4,73</w:t>
            </w:r>
          </w:p>
        </w:tc>
        <w:tc>
          <w:tcPr>
            <w:tcW w:w="5725" w:type="dxa"/>
            <w:vAlign w:val="center"/>
            <w:hideMark/>
          </w:tcPr>
          <w:p w14:paraId="7B0D102D"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Component of plant resistance. Contains lipase signature motif and GDSL domain. Directly interferes with the fungal infection process by acting on fungal cell walls through its action as a antimicrobial compound. Critical component for both local and systemic resistance responses in the incompatible interaction with </w:t>
            </w:r>
            <w:r w:rsidRPr="00845E23">
              <w:rPr>
                <w:rFonts w:ascii="Calibri" w:eastAsia="Times New Roman" w:hAnsi="Calibri" w:cs="Calibri"/>
                <w:i/>
                <w:iCs/>
                <w:color w:val="000000"/>
                <w:kern w:val="0"/>
                <w:lang w:val="en-GB" w:eastAsia="pl-PL"/>
                <w14:ligatures w14:val="none"/>
              </w:rPr>
              <w:t xml:space="preserve">Alternaria </w:t>
            </w:r>
            <w:proofErr w:type="spellStart"/>
            <w:r w:rsidRPr="00845E23">
              <w:rPr>
                <w:rFonts w:ascii="Calibri" w:eastAsia="Times New Roman" w:hAnsi="Calibri" w:cs="Calibri"/>
                <w:i/>
                <w:iCs/>
                <w:color w:val="000000"/>
                <w:kern w:val="0"/>
                <w:lang w:val="en-GB" w:eastAsia="pl-PL"/>
                <w14:ligatures w14:val="none"/>
              </w:rPr>
              <w:t>brassicicola</w:t>
            </w:r>
            <w:proofErr w:type="spellEnd"/>
            <w:r w:rsidRPr="00845E23">
              <w:rPr>
                <w:rFonts w:ascii="Calibri" w:eastAsia="Times New Roman" w:hAnsi="Calibri" w:cs="Calibri"/>
                <w:color w:val="000000"/>
                <w:kern w:val="0"/>
                <w:lang w:val="en-GB" w:eastAsia="pl-PL"/>
                <w14:ligatures w14:val="none"/>
              </w:rPr>
              <w:t xml:space="preserve"> in the ethylene-dependent pathway.</w:t>
            </w:r>
          </w:p>
        </w:tc>
      </w:tr>
      <w:tr w:rsidR="00845E23" w:rsidRPr="00044B4E" w14:paraId="45BFB0E5"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11150EAA"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AT2G30750</w:t>
            </w:r>
          </w:p>
        </w:tc>
        <w:tc>
          <w:tcPr>
            <w:tcW w:w="1260" w:type="dxa"/>
            <w:noWrap/>
            <w:vAlign w:val="center"/>
            <w:hideMark/>
          </w:tcPr>
          <w:p w14:paraId="6FE03F42"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CYP71A12</w:t>
            </w:r>
          </w:p>
        </w:tc>
        <w:tc>
          <w:tcPr>
            <w:tcW w:w="2040" w:type="dxa"/>
            <w:noWrap/>
            <w:vAlign w:val="center"/>
            <w:hideMark/>
          </w:tcPr>
          <w:p w14:paraId="08E7CD54"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-4,42</w:t>
            </w:r>
          </w:p>
        </w:tc>
        <w:tc>
          <w:tcPr>
            <w:tcW w:w="5725" w:type="dxa"/>
            <w:vAlign w:val="center"/>
            <w:hideMark/>
          </w:tcPr>
          <w:p w14:paraId="3FBCB6DA"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Putative cytochrome P450; together with CYP71A13 produces </w:t>
            </w:r>
            <w:proofErr w:type="spellStart"/>
            <w:r w:rsidRPr="00845E23">
              <w:rPr>
                <w:rFonts w:ascii="Calibri" w:eastAsia="Times New Roman" w:hAnsi="Calibri" w:cs="Calibri"/>
                <w:color w:val="000000"/>
                <w:kern w:val="0"/>
                <w:lang w:val="en-GB" w:eastAsia="pl-PL"/>
                <w14:ligatures w14:val="none"/>
              </w:rPr>
              <w:t>dihydrocamalexic</w:t>
            </w:r>
            <w:proofErr w:type="spellEnd"/>
            <w:r w:rsidRPr="00845E23">
              <w:rPr>
                <w:rFonts w:ascii="Calibri" w:eastAsia="Times New Roman" w:hAnsi="Calibri" w:cs="Calibri"/>
                <w:color w:val="000000"/>
                <w:kern w:val="0"/>
                <w:lang w:val="en-GB" w:eastAsia="pl-PL"/>
                <w14:ligatures w14:val="none"/>
              </w:rPr>
              <w:t xml:space="preserve"> acid (DHCA), the precursor to the defense-related compound camalexin, which accumulates in the intercellular space and contributes to the resistance of mature Arabidopsis to </w:t>
            </w:r>
            <w:r w:rsidRPr="00845E23">
              <w:rPr>
                <w:rFonts w:ascii="Calibri" w:eastAsia="Times New Roman" w:hAnsi="Calibri" w:cs="Calibri"/>
                <w:i/>
                <w:iCs/>
                <w:color w:val="000000"/>
                <w:kern w:val="0"/>
                <w:lang w:val="en-GB" w:eastAsia="pl-PL"/>
                <w14:ligatures w14:val="none"/>
              </w:rPr>
              <w:t>P. syringae</w:t>
            </w:r>
            <w:r w:rsidRPr="00845E23">
              <w:rPr>
                <w:rFonts w:ascii="Calibri" w:eastAsia="Times New Roman" w:hAnsi="Calibri" w:cs="Calibri"/>
                <w:color w:val="000000"/>
                <w:kern w:val="0"/>
                <w:lang w:val="en-GB" w:eastAsia="pl-PL"/>
                <w14:ligatures w14:val="none"/>
              </w:rPr>
              <w:t xml:space="preserve"> without directly inhibiting bacterial growth.</w:t>
            </w:r>
          </w:p>
        </w:tc>
      </w:tr>
      <w:tr w:rsidR="00845E23" w:rsidRPr="00044B4E" w14:paraId="1684DA08"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65F22A04"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AT1G54040</w:t>
            </w:r>
          </w:p>
        </w:tc>
        <w:tc>
          <w:tcPr>
            <w:tcW w:w="1260" w:type="dxa"/>
            <w:noWrap/>
            <w:vAlign w:val="center"/>
            <w:hideMark/>
          </w:tcPr>
          <w:p w14:paraId="1642B9B7"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ESP</w:t>
            </w:r>
          </w:p>
        </w:tc>
        <w:tc>
          <w:tcPr>
            <w:tcW w:w="2040" w:type="dxa"/>
            <w:noWrap/>
            <w:vAlign w:val="center"/>
            <w:hideMark/>
          </w:tcPr>
          <w:p w14:paraId="18DB684A"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-3,97</w:t>
            </w:r>
          </w:p>
        </w:tc>
        <w:tc>
          <w:tcPr>
            <w:tcW w:w="5725" w:type="dxa"/>
            <w:vAlign w:val="center"/>
            <w:hideMark/>
          </w:tcPr>
          <w:p w14:paraId="343CAB50"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proofErr w:type="spellStart"/>
            <w:r w:rsidRPr="00845E23">
              <w:rPr>
                <w:rFonts w:ascii="Calibri" w:eastAsia="Times New Roman" w:hAnsi="Calibri" w:cs="Calibri"/>
                <w:color w:val="000000"/>
                <w:kern w:val="0"/>
                <w:lang w:val="en-GB" w:eastAsia="pl-PL"/>
                <w14:ligatures w14:val="none"/>
              </w:rPr>
              <w:t>Epithiospecifier</w:t>
            </w:r>
            <w:proofErr w:type="spellEnd"/>
            <w:r w:rsidRPr="00845E23">
              <w:rPr>
                <w:rFonts w:ascii="Calibri" w:eastAsia="Times New Roman" w:hAnsi="Calibri" w:cs="Calibri"/>
                <w:color w:val="000000"/>
                <w:kern w:val="0"/>
                <w:lang w:val="en-GB" w:eastAsia="pl-PL"/>
                <w14:ligatures w14:val="none"/>
              </w:rPr>
              <w:t xml:space="preserve"> protein, interacts with WRKY53. Involved in pathogen resistance and leaf senescence.</w:t>
            </w:r>
          </w:p>
        </w:tc>
      </w:tr>
      <w:tr w:rsidR="00845E23" w:rsidRPr="00044B4E" w14:paraId="73E47EF5"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01AD20B4"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AT4G11170</w:t>
            </w:r>
          </w:p>
        </w:tc>
        <w:tc>
          <w:tcPr>
            <w:tcW w:w="1260" w:type="dxa"/>
            <w:noWrap/>
            <w:vAlign w:val="center"/>
            <w:hideMark/>
          </w:tcPr>
          <w:p w14:paraId="69CC4AEA"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RMG1</w:t>
            </w:r>
          </w:p>
        </w:tc>
        <w:tc>
          <w:tcPr>
            <w:tcW w:w="2040" w:type="dxa"/>
            <w:noWrap/>
            <w:vAlign w:val="center"/>
            <w:hideMark/>
          </w:tcPr>
          <w:p w14:paraId="5D62F5AF"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-3,76</w:t>
            </w:r>
          </w:p>
        </w:tc>
        <w:tc>
          <w:tcPr>
            <w:tcW w:w="5725" w:type="dxa"/>
            <w:vAlign w:val="center"/>
            <w:hideMark/>
          </w:tcPr>
          <w:p w14:paraId="38782306"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RMG1 (Resistance Methylated Gene 1), a NB-LRR disease resistance protein with a Toll/interleukin-1 receptor (TIR) domain at its N terminus. RMG1 is expressed at high levels in response to flg22 and in naive met1/nrpd2 relative to wild-type plants. Expression of this gene is controlled by DNA methylation in its promoter region. The RMG1 promoter region is constitutively demethylated by active DNA demethylation mediated by the DNA glycosylase ROS1.</w:t>
            </w:r>
          </w:p>
        </w:tc>
      </w:tr>
      <w:tr w:rsidR="00845E23" w:rsidRPr="00845E23" w14:paraId="140384B8"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1FE77EC8"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AT2G19190</w:t>
            </w:r>
          </w:p>
        </w:tc>
        <w:tc>
          <w:tcPr>
            <w:tcW w:w="1260" w:type="dxa"/>
            <w:noWrap/>
            <w:vAlign w:val="center"/>
            <w:hideMark/>
          </w:tcPr>
          <w:p w14:paraId="0EF78937"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FRK1</w:t>
            </w:r>
          </w:p>
        </w:tc>
        <w:tc>
          <w:tcPr>
            <w:tcW w:w="2040" w:type="dxa"/>
            <w:noWrap/>
            <w:vAlign w:val="center"/>
            <w:hideMark/>
          </w:tcPr>
          <w:p w14:paraId="4957AC31"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-3,50</w:t>
            </w:r>
          </w:p>
        </w:tc>
        <w:tc>
          <w:tcPr>
            <w:tcW w:w="5725" w:type="dxa"/>
            <w:vAlign w:val="center"/>
            <w:hideMark/>
          </w:tcPr>
          <w:p w14:paraId="4375A9E5"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val="en-GB" w:eastAsia="pl-PL"/>
                <w14:ligatures w14:val="none"/>
              </w:rPr>
              <w:t xml:space="preserve">Encodes a receptor-like protein kinase that is involved in early defense </w:t>
            </w:r>
            <w:proofErr w:type="spellStart"/>
            <w:r w:rsidRPr="00845E23">
              <w:rPr>
                <w:rFonts w:ascii="Calibri" w:eastAsia="Times New Roman" w:hAnsi="Calibri" w:cs="Calibri"/>
                <w:color w:val="000000"/>
                <w:kern w:val="0"/>
                <w:lang w:val="en-GB" w:eastAsia="pl-PL"/>
                <w14:ligatures w14:val="none"/>
              </w:rPr>
              <w:t>signaling</w:t>
            </w:r>
            <w:proofErr w:type="spellEnd"/>
            <w:r w:rsidRPr="00845E23">
              <w:rPr>
                <w:rFonts w:ascii="Calibri" w:eastAsia="Times New Roman" w:hAnsi="Calibri" w:cs="Calibri"/>
                <w:color w:val="000000"/>
                <w:kern w:val="0"/>
                <w:lang w:val="en-GB" w:eastAsia="pl-PL"/>
                <w14:ligatures w14:val="none"/>
              </w:rPr>
              <w:t xml:space="preserve">. Expression of this gene is strongly induced during leaf senescence.  </w:t>
            </w:r>
            <w:r w:rsidRPr="00845E23">
              <w:rPr>
                <w:rFonts w:ascii="Calibri" w:eastAsia="Times New Roman" w:hAnsi="Calibri" w:cs="Calibri"/>
                <w:color w:val="000000"/>
                <w:kern w:val="0"/>
                <w:lang w:eastAsia="pl-PL"/>
                <w14:ligatures w14:val="none"/>
              </w:rPr>
              <w:t xml:space="preserve">It </w:t>
            </w:r>
            <w:proofErr w:type="spellStart"/>
            <w:r w:rsidRPr="00845E23">
              <w:rPr>
                <w:rFonts w:ascii="Calibri" w:eastAsia="Times New Roman" w:hAnsi="Calibri" w:cs="Calibri"/>
                <w:color w:val="000000"/>
                <w:kern w:val="0"/>
                <w:lang w:eastAsia="pl-PL"/>
                <w14:ligatures w14:val="none"/>
              </w:rPr>
              <w:t>is</w:t>
            </w:r>
            <w:proofErr w:type="spellEnd"/>
            <w:r w:rsidRPr="00845E23">
              <w:rPr>
                <w:rFonts w:ascii="Calibri" w:eastAsia="Times New Roman" w:hAnsi="Calibri" w:cs="Calibri"/>
                <w:color w:val="000000"/>
                <w:kern w:val="0"/>
                <w:lang w:eastAsia="pl-PL"/>
                <w14:ligatures w14:val="none"/>
              </w:rPr>
              <w:t xml:space="preserve"> a target of the </w:t>
            </w:r>
            <w:proofErr w:type="spellStart"/>
            <w:r w:rsidRPr="00845E23">
              <w:rPr>
                <w:rFonts w:ascii="Calibri" w:eastAsia="Times New Roman" w:hAnsi="Calibri" w:cs="Calibri"/>
                <w:color w:val="000000"/>
                <w:kern w:val="0"/>
                <w:lang w:eastAsia="pl-PL"/>
                <w14:ligatures w14:val="none"/>
              </w:rPr>
              <w:t>transcription</w:t>
            </w:r>
            <w:proofErr w:type="spellEnd"/>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factor</w:t>
            </w:r>
            <w:proofErr w:type="spellEnd"/>
            <w:r w:rsidRPr="00845E23">
              <w:rPr>
                <w:rFonts w:ascii="Calibri" w:eastAsia="Times New Roman" w:hAnsi="Calibri" w:cs="Calibri"/>
                <w:color w:val="000000"/>
                <w:kern w:val="0"/>
                <w:lang w:eastAsia="pl-PL"/>
                <w14:ligatures w14:val="none"/>
              </w:rPr>
              <w:t xml:space="preserve"> AtWRKY6.</w:t>
            </w:r>
          </w:p>
        </w:tc>
      </w:tr>
      <w:tr w:rsidR="00845E23" w:rsidRPr="00044B4E" w14:paraId="3B8CB58A"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6607481B"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AT4G23150</w:t>
            </w:r>
          </w:p>
        </w:tc>
        <w:tc>
          <w:tcPr>
            <w:tcW w:w="1260" w:type="dxa"/>
            <w:noWrap/>
            <w:vAlign w:val="center"/>
            <w:hideMark/>
          </w:tcPr>
          <w:p w14:paraId="406615AA"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CRK7</w:t>
            </w:r>
          </w:p>
        </w:tc>
        <w:tc>
          <w:tcPr>
            <w:tcW w:w="2040" w:type="dxa"/>
            <w:noWrap/>
            <w:vAlign w:val="center"/>
            <w:hideMark/>
          </w:tcPr>
          <w:p w14:paraId="2759FD24"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-3,45</w:t>
            </w:r>
          </w:p>
        </w:tc>
        <w:tc>
          <w:tcPr>
            <w:tcW w:w="5725" w:type="dxa"/>
            <w:vAlign w:val="center"/>
            <w:hideMark/>
          </w:tcPr>
          <w:p w14:paraId="42511483" w14:textId="33C6C531"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 Involved in defense response to bacterium</w:t>
            </w:r>
            <w:r w:rsidR="004755ED">
              <w:rPr>
                <w:rFonts w:ascii="Calibri" w:eastAsia="Times New Roman" w:hAnsi="Calibri" w:cs="Calibri"/>
                <w:color w:val="000000"/>
                <w:kern w:val="0"/>
                <w:lang w:val="en-GB" w:eastAsia="pl-PL"/>
                <w14:ligatures w14:val="none"/>
              </w:rPr>
              <w:t>.</w:t>
            </w:r>
          </w:p>
        </w:tc>
      </w:tr>
      <w:tr w:rsidR="00845E23" w:rsidRPr="00044B4E" w14:paraId="11477632"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201D41B5"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AT4G23210</w:t>
            </w:r>
          </w:p>
        </w:tc>
        <w:tc>
          <w:tcPr>
            <w:tcW w:w="1260" w:type="dxa"/>
            <w:noWrap/>
            <w:vAlign w:val="center"/>
            <w:hideMark/>
          </w:tcPr>
          <w:p w14:paraId="1D6E76AD"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CRK13</w:t>
            </w:r>
          </w:p>
        </w:tc>
        <w:tc>
          <w:tcPr>
            <w:tcW w:w="2040" w:type="dxa"/>
            <w:noWrap/>
            <w:vAlign w:val="center"/>
            <w:hideMark/>
          </w:tcPr>
          <w:p w14:paraId="31CB8DFC"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-2,95</w:t>
            </w:r>
          </w:p>
        </w:tc>
        <w:tc>
          <w:tcPr>
            <w:tcW w:w="5725" w:type="dxa"/>
            <w:vAlign w:val="center"/>
            <w:hideMark/>
          </w:tcPr>
          <w:p w14:paraId="6912CCCB"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kinase (CRK13). Overexpression of CRK13 leads to hypersensitive response cell death, and induces defense against pathogens by causing increased accumulation of salicylic acid.</w:t>
            </w:r>
          </w:p>
        </w:tc>
      </w:tr>
      <w:tr w:rsidR="00845E23" w:rsidRPr="00044B4E" w14:paraId="77E9544A"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D8E0599"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AT4G23280</w:t>
            </w:r>
          </w:p>
        </w:tc>
        <w:tc>
          <w:tcPr>
            <w:tcW w:w="1260" w:type="dxa"/>
            <w:noWrap/>
            <w:vAlign w:val="center"/>
            <w:hideMark/>
          </w:tcPr>
          <w:p w14:paraId="4C79A994"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CRK20</w:t>
            </w:r>
          </w:p>
        </w:tc>
        <w:tc>
          <w:tcPr>
            <w:tcW w:w="2040" w:type="dxa"/>
            <w:noWrap/>
            <w:vAlign w:val="center"/>
            <w:hideMark/>
          </w:tcPr>
          <w:p w14:paraId="726B7B4A"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-2,93</w:t>
            </w:r>
          </w:p>
        </w:tc>
        <w:tc>
          <w:tcPr>
            <w:tcW w:w="5725" w:type="dxa"/>
            <w:vAlign w:val="center"/>
            <w:hideMark/>
          </w:tcPr>
          <w:p w14:paraId="2065AEA3"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 Involved in defense response to bacterium.</w:t>
            </w:r>
          </w:p>
        </w:tc>
      </w:tr>
      <w:tr w:rsidR="00845E23" w:rsidRPr="00845E23" w14:paraId="13297645"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4D539A1C"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AT4G14400</w:t>
            </w:r>
          </w:p>
        </w:tc>
        <w:tc>
          <w:tcPr>
            <w:tcW w:w="1260" w:type="dxa"/>
            <w:noWrap/>
            <w:vAlign w:val="center"/>
            <w:hideMark/>
          </w:tcPr>
          <w:p w14:paraId="1B4C0E7F"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ACD6</w:t>
            </w:r>
          </w:p>
        </w:tc>
        <w:tc>
          <w:tcPr>
            <w:tcW w:w="2040" w:type="dxa"/>
            <w:noWrap/>
            <w:vAlign w:val="center"/>
            <w:hideMark/>
          </w:tcPr>
          <w:p w14:paraId="4FD4EE4F"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-2,66</w:t>
            </w:r>
          </w:p>
        </w:tc>
        <w:tc>
          <w:tcPr>
            <w:tcW w:w="5725" w:type="dxa"/>
            <w:vAlign w:val="center"/>
            <w:hideMark/>
          </w:tcPr>
          <w:p w14:paraId="36C7342D" w14:textId="33011FC1" w:rsidR="00845E23" w:rsidRPr="00845E23" w:rsidRDefault="007B24EE"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Pr>
                <w:rFonts w:ascii="Calibri" w:eastAsia="Times New Roman" w:hAnsi="Calibri" w:cs="Calibri"/>
                <w:color w:val="000000"/>
                <w:kern w:val="0"/>
                <w:lang w:val="en-GB" w:eastAsia="pl-PL"/>
                <w14:ligatures w14:val="none"/>
              </w:rPr>
              <w:t>E</w:t>
            </w:r>
            <w:r w:rsidR="00845E23" w:rsidRPr="00845E23">
              <w:rPr>
                <w:rFonts w:ascii="Calibri" w:eastAsia="Times New Roman" w:hAnsi="Calibri" w:cs="Calibri"/>
                <w:color w:val="000000"/>
                <w:kern w:val="0"/>
                <w:lang w:val="en-GB" w:eastAsia="pl-PL"/>
                <w14:ligatures w14:val="none"/>
              </w:rPr>
              <w:t xml:space="preserve">ncodes a novel protein with putative ankyrin and transmembrane regions. It is a member of one of the largest uncharacterized gene families in higher plants. </w:t>
            </w:r>
            <w:r w:rsidR="00845E23" w:rsidRPr="00845E23">
              <w:rPr>
                <w:rFonts w:ascii="Calibri" w:eastAsia="Times New Roman" w:hAnsi="Calibri" w:cs="Calibri"/>
                <w:color w:val="000000"/>
                <w:kern w:val="0"/>
                <w:lang w:eastAsia="pl-PL"/>
                <w14:ligatures w14:val="none"/>
              </w:rPr>
              <w:t xml:space="preserve">The </w:t>
            </w:r>
            <w:proofErr w:type="spellStart"/>
            <w:r w:rsidR="00845E23" w:rsidRPr="00845E23">
              <w:rPr>
                <w:rFonts w:ascii="Calibri" w:eastAsia="Times New Roman" w:hAnsi="Calibri" w:cs="Calibri"/>
                <w:color w:val="000000"/>
                <w:kern w:val="0"/>
                <w:lang w:eastAsia="pl-PL"/>
                <w14:ligatures w14:val="none"/>
              </w:rPr>
              <w:t>gene</w:t>
            </w:r>
            <w:proofErr w:type="spellEnd"/>
            <w:r w:rsidR="00845E23" w:rsidRPr="00845E23">
              <w:rPr>
                <w:rFonts w:ascii="Calibri" w:eastAsia="Times New Roman" w:hAnsi="Calibri" w:cs="Calibri"/>
                <w:color w:val="000000"/>
                <w:kern w:val="0"/>
                <w:lang w:eastAsia="pl-PL"/>
                <w14:ligatures w14:val="none"/>
              </w:rPr>
              <w:t xml:space="preserve"> </w:t>
            </w:r>
            <w:proofErr w:type="spellStart"/>
            <w:r w:rsidR="00845E23" w:rsidRPr="00845E23">
              <w:rPr>
                <w:rFonts w:ascii="Calibri" w:eastAsia="Times New Roman" w:hAnsi="Calibri" w:cs="Calibri"/>
                <w:color w:val="000000"/>
                <w:kern w:val="0"/>
                <w:lang w:eastAsia="pl-PL"/>
                <w14:ligatures w14:val="none"/>
              </w:rPr>
              <w:t>is</w:t>
            </w:r>
            <w:proofErr w:type="spellEnd"/>
            <w:r w:rsidR="00845E23" w:rsidRPr="00845E23">
              <w:rPr>
                <w:rFonts w:ascii="Calibri" w:eastAsia="Times New Roman" w:hAnsi="Calibri" w:cs="Calibri"/>
                <w:color w:val="000000"/>
                <w:kern w:val="0"/>
                <w:lang w:eastAsia="pl-PL"/>
                <w14:ligatures w14:val="none"/>
              </w:rPr>
              <w:t xml:space="preserve"> </w:t>
            </w:r>
            <w:proofErr w:type="spellStart"/>
            <w:r w:rsidR="00845E23" w:rsidRPr="00845E23">
              <w:rPr>
                <w:rFonts w:ascii="Calibri" w:eastAsia="Times New Roman" w:hAnsi="Calibri" w:cs="Calibri"/>
                <w:color w:val="000000"/>
                <w:kern w:val="0"/>
                <w:lang w:eastAsia="pl-PL"/>
                <w14:ligatures w14:val="none"/>
              </w:rPr>
              <w:t>involved</w:t>
            </w:r>
            <w:proofErr w:type="spellEnd"/>
            <w:r w:rsidR="00845E23" w:rsidRPr="00845E23">
              <w:rPr>
                <w:rFonts w:ascii="Calibri" w:eastAsia="Times New Roman" w:hAnsi="Calibri" w:cs="Calibri"/>
                <w:color w:val="000000"/>
                <w:kern w:val="0"/>
                <w:lang w:eastAsia="pl-PL"/>
                <w14:ligatures w14:val="none"/>
              </w:rPr>
              <w:t xml:space="preserve"> in </w:t>
            </w:r>
            <w:proofErr w:type="spellStart"/>
            <w:r w:rsidR="00845E23" w:rsidRPr="00845E23">
              <w:rPr>
                <w:rFonts w:ascii="Calibri" w:eastAsia="Times New Roman" w:hAnsi="Calibri" w:cs="Calibri"/>
                <w:color w:val="000000"/>
                <w:kern w:val="0"/>
                <w:lang w:eastAsia="pl-PL"/>
                <w14:ligatures w14:val="none"/>
              </w:rPr>
              <w:t>resistance</w:t>
            </w:r>
            <w:proofErr w:type="spellEnd"/>
            <w:r w:rsidR="00845E23" w:rsidRPr="00845E23">
              <w:rPr>
                <w:rFonts w:ascii="Calibri" w:eastAsia="Times New Roman" w:hAnsi="Calibri" w:cs="Calibri"/>
                <w:color w:val="000000"/>
                <w:kern w:val="0"/>
                <w:lang w:eastAsia="pl-PL"/>
                <w14:ligatures w14:val="none"/>
              </w:rPr>
              <w:t xml:space="preserve"> to </w:t>
            </w:r>
            <w:proofErr w:type="spellStart"/>
            <w:r w:rsidR="00845E23" w:rsidRPr="00845E23">
              <w:rPr>
                <w:rFonts w:ascii="Calibri" w:eastAsia="Times New Roman" w:hAnsi="Calibri" w:cs="Calibri"/>
                <w:i/>
                <w:iCs/>
                <w:color w:val="000000"/>
                <w:kern w:val="0"/>
                <w:lang w:eastAsia="pl-PL"/>
                <w14:ligatures w14:val="none"/>
              </w:rPr>
              <w:t>Pseudomonas</w:t>
            </w:r>
            <w:proofErr w:type="spellEnd"/>
            <w:r w:rsidR="00845E23" w:rsidRPr="00845E23">
              <w:rPr>
                <w:rFonts w:ascii="Calibri" w:eastAsia="Times New Roman" w:hAnsi="Calibri" w:cs="Calibri"/>
                <w:i/>
                <w:iCs/>
                <w:color w:val="000000"/>
                <w:kern w:val="0"/>
                <w:lang w:eastAsia="pl-PL"/>
                <w14:ligatures w14:val="none"/>
              </w:rPr>
              <w:t xml:space="preserve"> syringae</w:t>
            </w:r>
            <w:r w:rsidR="00845E23" w:rsidRPr="00845E23">
              <w:rPr>
                <w:rFonts w:ascii="Calibri" w:eastAsia="Times New Roman" w:hAnsi="Calibri" w:cs="Calibri"/>
                <w:color w:val="000000"/>
                <w:kern w:val="0"/>
                <w:lang w:eastAsia="pl-PL"/>
                <w14:ligatures w14:val="none"/>
              </w:rPr>
              <w:t>.</w:t>
            </w:r>
          </w:p>
        </w:tc>
      </w:tr>
      <w:tr w:rsidR="00845E23" w:rsidRPr="00044B4E" w14:paraId="530887D5"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38AAF954"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lastRenderedPageBreak/>
              <w:t>AT2G40750</w:t>
            </w:r>
          </w:p>
        </w:tc>
        <w:tc>
          <w:tcPr>
            <w:tcW w:w="1260" w:type="dxa"/>
            <w:noWrap/>
            <w:vAlign w:val="center"/>
            <w:hideMark/>
          </w:tcPr>
          <w:p w14:paraId="122BD134"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WRKY54</w:t>
            </w:r>
          </w:p>
        </w:tc>
        <w:tc>
          <w:tcPr>
            <w:tcW w:w="2040" w:type="dxa"/>
            <w:noWrap/>
            <w:vAlign w:val="center"/>
            <w:hideMark/>
          </w:tcPr>
          <w:p w14:paraId="36056885"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-2,30</w:t>
            </w:r>
          </w:p>
        </w:tc>
        <w:tc>
          <w:tcPr>
            <w:tcW w:w="5725" w:type="dxa"/>
            <w:vAlign w:val="center"/>
            <w:hideMark/>
          </w:tcPr>
          <w:p w14:paraId="08878BBD"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member of WRKY Transcription Factor; Group III. Together with WRKY70 positively regulates SARD1 and CBP60g expression in plant immunity.</w:t>
            </w:r>
          </w:p>
        </w:tc>
      </w:tr>
      <w:tr w:rsidR="00845E23" w:rsidRPr="00845E23" w14:paraId="0D30531E"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094FDCBC"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AT5G01560</w:t>
            </w:r>
          </w:p>
        </w:tc>
        <w:tc>
          <w:tcPr>
            <w:tcW w:w="1260" w:type="dxa"/>
            <w:noWrap/>
            <w:vAlign w:val="center"/>
            <w:hideMark/>
          </w:tcPr>
          <w:p w14:paraId="57D3D06B"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LECRK-VI.4</w:t>
            </w:r>
          </w:p>
        </w:tc>
        <w:tc>
          <w:tcPr>
            <w:tcW w:w="2040" w:type="dxa"/>
            <w:noWrap/>
            <w:vAlign w:val="center"/>
            <w:hideMark/>
          </w:tcPr>
          <w:p w14:paraId="73EF7495"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-2,30</w:t>
            </w:r>
          </w:p>
        </w:tc>
        <w:tc>
          <w:tcPr>
            <w:tcW w:w="5725" w:type="dxa"/>
            <w:vAlign w:val="center"/>
            <w:hideMark/>
          </w:tcPr>
          <w:p w14:paraId="44585E8E"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val="en-GB" w:eastAsia="pl-PL"/>
                <w14:ligatures w14:val="none"/>
              </w:rPr>
              <w:t xml:space="preserve">Encodes LecRKA4.3, a member of the lectin receptor kinase subfamily A4 (LecRKA4.1 At5g01540; LecRKA4.2 At5g01550; LecRKA4.3 At5g01560). Together with other members of the subfamily, functions redundantly in the negative regulation of ABA response in seed germination. </w:t>
            </w:r>
            <w:proofErr w:type="spellStart"/>
            <w:r w:rsidRPr="00845E23">
              <w:rPr>
                <w:rFonts w:ascii="Calibri" w:eastAsia="Times New Roman" w:hAnsi="Calibri" w:cs="Calibri"/>
                <w:color w:val="000000"/>
                <w:kern w:val="0"/>
                <w:lang w:eastAsia="pl-PL"/>
                <w14:ligatures w14:val="none"/>
              </w:rPr>
              <w:t>Involved</w:t>
            </w:r>
            <w:proofErr w:type="spellEnd"/>
            <w:r w:rsidRPr="00845E23">
              <w:rPr>
                <w:rFonts w:ascii="Calibri" w:eastAsia="Times New Roman" w:hAnsi="Calibri" w:cs="Calibri"/>
                <w:color w:val="000000"/>
                <w:kern w:val="0"/>
                <w:lang w:eastAsia="pl-PL"/>
                <w14:ligatures w14:val="none"/>
              </w:rPr>
              <w:t xml:space="preserve"> in defense </w:t>
            </w:r>
            <w:proofErr w:type="spellStart"/>
            <w:r w:rsidRPr="00845E23">
              <w:rPr>
                <w:rFonts w:ascii="Calibri" w:eastAsia="Times New Roman" w:hAnsi="Calibri" w:cs="Calibri"/>
                <w:color w:val="000000"/>
                <w:kern w:val="0"/>
                <w:lang w:eastAsia="pl-PL"/>
                <w14:ligatures w14:val="none"/>
              </w:rPr>
              <w:t>response</w:t>
            </w:r>
            <w:proofErr w:type="spellEnd"/>
            <w:r w:rsidRPr="00845E23">
              <w:rPr>
                <w:rFonts w:ascii="Calibri" w:eastAsia="Times New Roman" w:hAnsi="Calibri" w:cs="Calibri"/>
                <w:color w:val="000000"/>
                <w:kern w:val="0"/>
                <w:lang w:eastAsia="pl-PL"/>
                <w14:ligatures w14:val="none"/>
              </w:rPr>
              <w:t xml:space="preserve"> to </w:t>
            </w:r>
            <w:proofErr w:type="spellStart"/>
            <w:r w:rsidRPr="00845E23">
              <w:rPr>
                <w:rFonts w:ascii="Calibri" w:eastAsia="Times New Roman" w:hAnsi="Calibri" w:cs="Calibri"/>
                <w:color w:val="000000"/>
                <w:kern w:val="0"/>
                <w:lang w:eastAsia="pl-PL"/>
                <w14:ligatures w14:val="none"/>
              </w:rPr>
              <w:t>bacterium</w:t>
            </w:r>
            <w:proofErr w:type="spellEnd"/>
            <w:r w:rsidRPr="00845E23">
              <w:rPr>
                <w:rFonts w:ascii="Calibri" w:eastAsia="Times New Roman" w:hAnsi="Calibri" w:cs="Calibri"/>
                <w:color w:val="000000"/>
                <w:kern w:val="0"/>
                <w:lang w:eastAsia="pl-PL"/>
                <w14:ligatures w14:val="none"/>
              </w:rPr>
              <w:t>.</w:t>
            </w:r>
          </w:p>
        </w:tc>
      </w:tr>
      <w:tr w:rsidR="00845E23" w:rsidRPr="00044B4E" w14:paraId="5EE8E651" w14:textId="77777777" w:rsidTr="00C13A7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11F15E19"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AT5G60900</w:t>
            </w:r>
          </w:p>
        </w:tc>
        <w:tc>
          <w:tcPr>
            <w:tcW w:w="1260" w:type="dxa"/>
            <w:noWrap/>
            <w:vAlign w:val="center"/>
            <w:hideMark/>
          </w:tcPr>
          <w:p w14:paraId="73B3A165"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RLK1</w:t>
            </w:r>
          </w:p>
        </w:tc>
        <w:tc>
          <w:tcPr>
            <w:tcW w:w="2040" w:type="dxa"/>
            <w:noWrap/>
            <w:vAlign w:val="center"/>
            <w:hideMark/>
          </w:tcPr>
          <w:p w14:paraId="4D43A85C"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-2,18</w:t>
            </w:r>
          </w:p>
        </w:tc>
        <w:tc>
          <w:tcPr>
            <w:tcW w:w="5725" w:type="dxa"/>
            <w:vAlign w:val="center"/>
            <w:hideMark/>
          </w:tcPr>
          <w:p w14:paraId="379EB740"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receptor-like protein kinase. Involved in defense response to bacterium.</w:t>
            </w:r>
          </w:p>
        </w:tc>
      </w:tr>
      <w:tr w:rsidR="00845E23" w:rsidRPr="00044B4E" w14:paraId="503F4A80"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27D8A9FD"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AT5G44910</w:t>
            </w:r>
          </w:p>
        </w:tc>
        <w:tc>
          <w:tcPr>
            <w:tcW w:w="1260" w:type="dxa"/>
            <w:noWrap/>
            <w:vAlign w:val="center"/>
            <w:hideMark/>
          </w:tcPr>
          <w:p w14:paraId="3DFE0C5A"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TIR</w:t>
            </w:r>
          </w:p>
        </w:tc>
        <w:tc>
          <w:tcPr>
            <w:tcW w:w="2040" w:type="dxa"/>
            <w:noWrap/>
            <w:vAlign w:val="center"/>
            <w:hideMark/>
          </w:tcPr>
          <w:p w14:paraId="562CB06F"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-2,16</w:t>
            </w:r>
          </w:p>
        </w:tc>
        <w:tc>
          <w:tcPr>
            <w:tcW w:w="5725" w:type="dxa"/>
            <w:vAlign w:val="center"/>
            <w:hideMark/>
          </w:tcPr>
          <w:p w14:paraId="0B798711"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Toll-Interleukin-Resistance (TIR) domain family protein. Involved in defense response to bacterium.</w:t>
            </w:r>
          </w:p>
        </w:tc>
      </w:tr>
      <w:tr w:rsidR="00845E23" w:rsidRPr="00044B4E" w14:paraId="367C2FCC" w14:textId="77777777" w:rsidTr="00C13A7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2719FA9A"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AT3G57700</w:t>
            </w:r>
          </w:p>
        </w:tc>
        <w:tc>
          <w:tcPr>
            <w:tcW w:w="1260" w:type="dxa"/>
            <w:noWrap/>
            <w:vAlign w:val="center"/>
            <w:hideMark/>
          </w:tcPr>
          <w:p w14:paraId="2AAFA137"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ZRK10</w:t>
            </w:r>
          </w:p>
        </w:tc>
        <w:tc>
          <w:tcPr>
            <w:tcW w:w="2040" w:type="dxa"/>
            <w:noWrap/>
            <w:vAlign w:val="center"/>
            <w:hideMark/>
          </w:tcPr>
          <w:p w14:paraId="2EC88875"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-2,15</w:t>
            </w:r>
          </w:p>
        </w:tc>
        <w:tc>
          <w:tcPr>
            <w:tcW w:w="5725" w:type="dxa"/>
            <w:vAlign w:val="center"/>
            <w:hideMark/>
          </w:tcPr>
          <w:p w14:paraId="5E27C34C"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Protein kinase superfamily protein. Involved in defense response to bacterium.</w:t>
            </w:r>
          </w:p>
        </w:tc>
      </w:tr>
      <w:tr w:rsidR="00845E23" w:rsidRPr="00845E23" w14:paraId="40399C31"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5542823F"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AT1G19610</w:t>
            </w:r>
          </w:p>
        </w:tc>
        <w:tc>
          <w:tcPr>
            <w:tcW w:w="1260" w:type="dxa"/>
            <w:noWrap/>
            <w:vAlign w:val="center"/>
            <w:hideMark/>
          </w:tcPr>
          <w:p w14:paraId="738B7C42"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PDF1.4</w:t>
            </w:r>
          </w:p>
        </w:tc>
        <w:tc>
          <w:tcPr>
            <w:tcW w:w="2040" w:type="dxa"/>
            <w:noWrap/>
            <w:vAlign w:val="center"/>
            <w:hideMark/>
          </w:tcPr>
          <w:p w14:paraId="492AD3DB"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-2,14</w:t>
            </w:r>
          </w:p>
        </w:tc>
        <w:tc>
          <w:tcPr>
            <w:tcW w:w="5725" w:type="dxa"/>
            <w:vAlign w:val="center"/>
            <w:hideMark/>
          </w:tcPr>
          <w:p w14:paraId="0B0E5759"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val="en-GB" w:eastAsia="pl-PL"/>
                <w14:ligatures w14:val="none"/>
              </w:rPr>
              <w:t xml:space="preserve">Predicted to encode a PR (pathogenesis-related) protein. Belongs to the plant defensin (PDF) family. </w:t>
            </w:r>
            <w:proofErr w:type="spellStart"/>
            <w:r w:rsidRPr="00845E23">
              <w:rPr>
                <w:rFonts w:ascii="Calibri" w:eastAsia="Times New Roman" w:hAnsi="Calibri" w:cs="Calibri"/>
                <w:color w:val="000000"/>
                <w:kern w:val="0"/>
                <w:lang w:eastAsia="pl-PL"/>
                <w14:ligatures w14:val="none"/>
              </w:rPr>
              <w:t>Involved</w:t>
            </w:r>
            <w:proofErr w:type="spellEnd"/>
            <w:r w:rsidRPr="00845E23">
              <w:rPr>
                <w:rFonts w:ascii="Calibri" w:eastAsia="Times New Roman" w:hAnsi="Calibri" w:cs="Calibri"/>
                <w:color w:val="000000"/>
                <w:kern w:val="0"/>
                <w:lang w:eastAsia="pl-PL"/>
                <w14:ligatures w14:val="none"/>
              </w:rPr>
              <w:t xml:space="preserve"> in defense </w:t>
            </w:r>
            <w:proofErr w:type="spellStart"/>
            <w:r w:rsidRPr="00845E23">
              <w:rPr>
                <w:rFonts w:ascii="Calibri" w:eastAsia="Times New Roman" w:hAnsi="Calibri" w:cs="Calibri"/>
                <w:color w:val="000000"/>
                <w:kern w:val="0"/>
                <w:lang w:eastAsia="pl-PL"/>
                <w14:ligatures w14:val="none"/>
              </w:rPr>
              <w:t>response</w:t>
            </w:r>
            <w:proofErr w:type="spellEnd"/>
            <w:r w:rsidRPr="00845E23">
              <w:rPr>
                <w:rFonts w:ascii="Calibri" w:eastAsia="Times New Roman" w:hAnsi="Calibri" w:cs="Calibri"/>
                <w:color w:val="000000"/>
                <w:kern w:val="0"/>
                <w:lang w:eastAsia="pl-PL"/>
                <w14:ligatures w14:val="none"/>
              </w:rPr>
              <w:t>.</w:t>
            </w:r>
          </w:p>
        </w:tc>
      </w:tr>
      <w:tr w:rsidR="00845E23" w:rsidRPr="00044B4E" w14:paraId="1210522F"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D29D9BD"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AT1G52940</w:t>
            </w:r>
          </w:p>
        </w:tc>
        <w:tc>
          <w:tcPr>
            <w:tcW w:w="1260" w:type="dxa"/>
            <w:noWrap/>
            <w:vAlign w:val="center"/>
            <w:hideMark/>
          </w:tcPr>
          <w:p w14:paraId="499334FA"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PAP5</w:t>
            </w:r>
          </w:p>
        </w:tc>
        <w:tc>
          <w:tcPr>
            <w:tcW w:w="2040" w:type="dxa"/>
            <w:noWrap/>
            <w:vAlign w:val="center"/>
            <w:hideMark/>
          </w:tcPr>
          <w:p w14:paraId="2F64247A"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-2,06</w:t>
            </w:r>
          </w:p>
        </w:tc>
        <w:tc>
          <w:tcPr>
            <w:tcW w:w="5725" w:type="dxa"/>
            <w:vAlign w:val="center"/>
            <w:hideMark/>
          </w:tcPr>
          <w:p w14:paraId="2FD82501"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a purple acid phosphatase that is induced under prolonged phosphate (Pi) starvation and is required for maintaining basal resistance against </w:t>
            </w:r>
            <w:r w:rsidRPr="00845E23">
              <w:rPr>
                <w:rFonts w:ascii="Calibri" w:eastAsia="Times New Roman" w:hAnsi="Calibri" w:cs="Calibri"/>
                <w:i/>
                <w:iCs/>
                <w:color w:val="000000"/>
                <w:kern w:val="0"/>
                <w:lang w:val="en-GB" w:eastAsia="pl-PL"/>
                <w14:ligatures w14:val="none"/>
              </w:rPr>
              <w:t>Pseudomonas syringae</w:t>
            </w:r>
            <w:r w:rsidRPr="00845E23">
              <w:rPr>
                <w:rFonts w:ascii="Calibri" w:eastAsia="Times New Roman" w:hAnsi="Calibri" w:cs="Calibri"/>
                <w:color w:val="000000"/>
                <w:kern w:val="0"/>
                <w:lang w:val="en-GB" w:eastAsia="pl-PL"/>
                <w14:ligatures w14:val="none"/>
              </w:rPr>
              <w:t xml:space="preserve"> and </w:t>
            </w:r>
            <w:r w:rsidRPr="00845E23">
              <w:rPr>
                <w:rFonts w:ascii="Calibri" w:eastAsia="Times New Roman" w:hAnsi="Calibri" w:cs="Calibri"/>
                <w:i/>
                <w:iCs/>
                <w:color w:val="000000"/>
                <w:kern w:val="0"/>
                <w:lang w:val="en-GB" w:eastAsia="pl-PL"/>
                <w14:ligatures w14:val="none"/>
              </w:rPr>
              <w:t>Botrytis cinerea.</w:t>
            </w:r>
          </w:p>
        </w:tc>
      </w:tr>
      <w:tr w:rsidR="00845E23" w:rsidRPr="00044B4E" w14:paraId="39AEBEF4"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172D9F1B"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AT4G23130</w:t>
            </w:r>
          </w:p>
        </w:tc>
        <w:tc>
          <w:tcPr>
            <w:tcW w:w="1260" w:type="dxa"/>
            <w:noWrap/>
            <w:vAlign w:val="center"/>
            <w:hideMark/>
          </w:tcPr>
          <w:p w14:paraId="4C3D93F8"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CRK5</w:t>
            </w:r>
          </w:p>
        </w:tc>
        <w:tc>
          <w:tcPr>
            <w:tcW w:w="2040" w:type="dxa"/>
            <w:noWrap/>
            <w:vAlign w:val="center"/>
            <w:hideMark/>
          </w:tcPr>
          <w:p w14:paraId="71625DAB"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-2,06</w:t>
            </w:r>
          </w:p>
        </w:tc>
        <w:tc>
          <w:tcPr>
            <w:tcW w:w="5725" w:type="dxa"/>
            <w:vAlign w:val="center"/>
            <w:hideMark/>
          </w:tcPr>
          <w:p w14:paraId="65B05B63" w14:textId="528F3CF1"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 Involved in defense response to bacterium and salicylic acid</w:t>
            </w:r>
            <w:r w:rsidR="008C77A2">
              <w:rPr>
                <w:rFonts w:ascii="Calibri" w:eastAsia="Times New Roman" w:hAnsi="Calibri" w:cs="Calibri"/>
                <w:color w:val="000000"/>
                <w:kern w:val="0"/>
                <w:lang w:val="en-GB" w:eastAsia="pl-PL"/>
                <w14:ligatures w14:val="none"/>
              </w:rPr>
              <w:t>.</w:t>
            </w:r>
          </w:p>
        </w:tc>
      </w:tr>
      <w:tr w:rsidR="00845E23" w:rsidRPr="00044B4E" w14:paraId="1558D192" w14:textId="77777777" w:rsidTr="00C13A7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FE0763F"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AT2G43590</w:t>
            </w:r>
          </w:p>
        </w:tc>
        <w:tc>
          <w:tcPr>
            <w:tcW w:w="1260" w:type="dxa"/>
            <w:noWrap/>
            <w:vAlign w:val="center"/>
            <w:hideMark/>
          </w:tcPr>
          <w:p w14:paraId="61254665"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PR3</w:t>
            </w:r>
          </w:p>
        </w:tc>
        <w:tc>
          <w:tcPr>
            <w:tcW w:w="2040" w:type="dxa"/>
            <w:noWrap/>
            <w:vAlign w:val="center"/>
            <w:hideMark/>
          </w:tcPr>
          <w:p w14:paraId="6E0A861A"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-2,04</w:t>
            </w:r>
          </w:p>
        </w:tc>
        <w:tc>
          <w:tcPr>
            <w:tcW w:w="5725" w:type="dxa"/>
            <w:vAlign w:val="center"/>
            <w:hideMark/>
          </w:tcPr>
          <w:p w14:paraId="24C7857D"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PR-3 like gene that is induced by pathogen infection.</w:t>
            </w:r>
          </w:p>
        </w:tc>
      </w:tr>
      <w:tr w:rsidR="00845E23" w:rsidRPr="00044B4E" w14:paraId="1AFFFC28"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0B6C9A9F"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AT3G25882</w:t>
            </w:r>
          </w:p>
        </w:tc>
        <w:tc>
          <w:tcPr>
            <w:tcW w:w="1260" w:type="dxa"/>
            <w:noWrap/>
            <w:vAlign w:val="center"/>
            <w:hideMark/>
          </w:tcPr>
          <w:p w14:paraId="60746B4D"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NIMIN2</w:t>
            </w:r>
          </w:p>
        </w:tc>
        <w:tc>
          <w:tcPr>
            <w:tcW w:w="2040" w:type="dxa"/>
            <w:noWrap/>
            <w:vAlign w:val="center"/>
            <w:hideMark/>
          </w:tcPr>
          <w:p w14:paraId="6D4542E2"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-1,87</w:t>
            </w:r>
          </w:p>
        </w:tc>
        <w:tc>
          <w:tcPr>
            <w:tcW w:w="5725" w:type="dxa"/>
            <w:vAlign w:val="center"/>
            <w:hideMark/>
          </w:tcPr>
          <w:p w14:paraId="1523D71C" w14:textId="2CD65086" w:rsidR="00845E23" w:rsidRPr="00845E23" w:rsidRDefault="007B24EE"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Pr>
                <w:rFonts w:ascii="Calibri" w:eastAsia="Times New Roman" w:hAnsi="Calibri" w:cs="Calibri"/>
                <w:color w:val="000000"/>
                <w:kern w:val="0"/>
                <w:lang w:val="en-GB" w:eastAsia="pl-PL"/>
                <w14:ligatures w14:val="none"/>
              </w:rPr>
              <w:t>E</w:t>
            </w:r>
            <w:r w:rsidR="00845E23" w:rsidRPr="00845E23">
              <w:rPr>
                <w:rFonts w:ascii="Calibri" w:eastAsia="Times New Roman" w:hAnsi="Calibri" w:cs="Calibri"/>
                <w:color w:val="000000"/>
                <w:kern w:val="0"/>
                <w:lang w:val="en-GB" w:eastAsia="pl-PL"/>
                <w14:ligatures w14:val="none"/>
              </w:rPr>
              <w:t>ncodes a kinase that physically interacts with NPR1/NIM1. Involved in regulation of systemic acquired resistance.</w:t>
            </w:r>
          </w:p>
        </w:tc>
      </w:tr>
      <w:tr w:rsidR="00845E23" w:rsidRPr="00044B4E" w14:paraId="7BB2C84B" w14:textId="77777777" w:rsidTr="00C13A7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697939BC"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AT1G02930</w:t>
            </w:r>
          </w:p>
        </w:tc>
        <w:tc>
          <w:tcPr>
            <w:tcW w:w="1260" w:type="dxa"/>
            <w:noWrap/>
            <w:vAlign w:val="center"/>
            <w:hideMark/>
          </w:tcPr>
          <w:p w14:paraId="6AA8CBC5"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GSTF6</w:t>
            </w:r>
          </w:p>
        </w:tc>
        <w:tc>
          <w:tcPr>
            <w:tcW w:w="2040" w:type="dxa"/>
            <w:noWrap/>
            <w:vAlign w:val="center"/>
            <w:hideMark/>
          </w:tcPr>
          <w:p w14:paraId="689E22AD"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-1,80</w:t>
            </w:r>
          </w:p>
        </w:tc>
        <w:tc>
          <w:tcPr>
            <w:tcW w:w="5725" w:type="dxa"/>
            <w:vAlign w:val="center"/>
            <w:hideMark/>
          </w:tcPr>
          <w:p w14:paraId="15A52616"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glutathione transferase belonging to the phi class of GSTs.</w:t>
            </w:r>
          </w:p>
        </w:tc>
      </w:tr>
      <w:tr w:rsidR="00845E23" w:rsidRPr="00044B4E" w14:paraId="501494C2" w14:textId="77777777" w:rsidTr="00C13A76">
        <w:trPr>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14BAEF31"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AT4G12470</w:t>
            </w:r>
          </w:p>
        </w:tc>
        <w:tc>
          <w:tcPr>
            <w:tcW w:w="1260" w:type="dxa"/>
            <w:noWrap/>
            <w:vAlign w:val="center"/>
            <w:hideMark/>
          </w:tcPr>
          <w:p w14:paraId="6276EDB6"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AZI1</w:t>
            </w:r>
          </w:p>
        </w:tc>
        <w:tc>
          <w:tcPr>
            <w:tcW w:w="2040" w:type="dxa"/>
            <w:noWrap/>
            <w:vAlign w:val="center"/>
            <w:hideMark/>
          </w:tcPr>
          <w:p w14:paraId="078A40D4"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-1,72</w:t>
            </w:r>
          </w:p>
        </w:tc>
        <w:tc>
          <w:tcPr>
            <w:tcW w:w="5725" w:type="dxa"/>
            <w:vAlign w:val="center"/>
            <w:hideMark/>
          </w:tcPr>
          <w:p w14:paraId="5DE5B318"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AZI1 (AZELAIC ACID INDUCED 1). Involved in the priming of salicylic acid induction and systemic immunity triggered by pathogen or azelaic acid. Targeting if AZI1 to chloroplasts is increased during SAR induction and that localization requires the PRR </w:t>
            </w:r>
            <w:proofErr w:type="spellStart"/>
            <w:r w:rsidRPr="00845E23">
              <w:rPr>
                <w:rFonts w:ascii="Calibri" w:eastAsia="Times New Roman" w:hAnsi="Calibri" w:cs="Calibri"/>
                <w:color w:val="000000"/>
                <w:kern w:val="0"/>
                <w:lang w:val="en-GB" w:eastAsia="pl-PL"/>
                <w14:ligatures w14:val="none"/>
              </w:rPr>
              <w:t>domain.It</w:t>
            </w:r>
            <w:proofErr w:type="spellEnd"/>
            <w:r w:rsidRPr="00845E23">
              <w:rPr>
                <w:rFonts w:ascii="Calibri" w:eastAsia="Times New Roman" w:hAnsi="Calibri" w:cs="Calibri"/>
                <w:color w:val="000000"/>
                <w:kern w:val="0"/>
                <w:lang w:val="en-GB" w:eastAsia="pl-PL"/>
                <w14:ligatures w14:val="none"/>
              </w:rPr>
              <w:t xml:space="preserve"> is involved in the uptake and movement of the azelaic acid signal. flg22 MAMP treatment strongly induces AZI1/EARLI1 protein levels and increases their relative enrichment in the plastid fraction.</w:t>
            </w:r>
          </w:p>
        </w:tc>
      </w:tr>
      <w:tr w:rsidR="00845E23" w:rsidRPr="00845E23" w14:paraId="20C86195"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409BA5AD"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AT5G46050</w:t>
            </w:r>
          </w:p>
        </w:tc>
        <w:tc>
          <w:tcPr>
            <w:tcW w:w="1260" w:type="dxa"/>
            <w:noWrap/>
            <w:vAlign w:val="center"/>
            <w:hideMark/>
          </w:tcPr>
          <w:p w14:paraId="2E2FB777"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PTR3</w:t>
            </w:r>
          </w:p>
        </w:tc>
        <w:tc>
          <w:tcPr>
            <w:tcW w:w="2040" w:type="dxa"/>
            <w:noWrap/>
            <w:vAlign w:val="center"/>
            <w:hideMark/>
          </w:tcPr>
          <w:p w14:paraId="779E0CFF"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-1,67</w:t>
            </w:r>
          </w:p>
        </w:tc>
        <w:tc>
          <w:tcPr>
            <w:tcW w:w="5725" w:type="dxa"/>
            <w:vAlign w:val="center"/>
            <w:hideMark/>
          </w:tcPr>
          <w:p w14:paraId="05657865"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val="en-GB" w:eastAsia="pl-PL"/>
                <w14:ligatures w14:val="none"/>
              </w:rPr>
              <w:t xml:space="preserve">Encodes a di- and tri-peptide transporter involved in responses to wounding, virulent bacterial pathogens, and high NaCl concentrations. </w:t>
            </w:r>
            <w:r w:rsidRPr="00845E23">
              <w:rPr>
                <w:rFonts w:ascii="Calibri" w:eastAsia="Times New Roman" w:hAnsi="Calibri" w:cs="Calibri"/>
                <w:color w:val="000000"/>
                <w:kern w:val="0"/>
                <w:lang w:eastAsia="pl-PL"/>
                <w14:ligatures w14:val="none"/>
              </w:rPr>
              <w:t xml:space="preserve">The protein </w:t>
            </w:r>
            <w:proofErr w:type="spellStart"/>
            <w:r w:rsidRPr="00845E23">
              <w:rPr>
                <w:rFonts w:ascii="Calibri" w:eastAsia="Times New Roman" w:hAnsi="Calibri" w:cs="Calibri"/>
                <w:color w:val="000000"/>
                <w:kern w:val="0"/>
                <w:lang w:eastAsia="pl-PL"/>
                <w14:ligatures w14:val="none"/>
              </w:rPr>
              <w:t>is</w:t>
            </w:r>
            <w:proofErr w:type="spellEnd"/>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predicted</w:t>
            </w:r>
            <w:proofErr w:type="spellEnd"/>
            <w:r w:rsidRPr="00845E23">
              <w:rPr>
                <w:rFonts w:ascii="Calibri" w:eastAsia="Times New Roman" w:hAnsi="Calibri" w:cs="Calibri"/>
                <w:color w:val="000000"/>
                <w:kern w:val="0"/>
                <w:lang w:eastAsia="pl-PL"/>
                <w14:ligatures w14:val="none"/>
              </w:rPr>
              <w:t xml:space="preserve"> to </w:t>
            </w:r>
            <w:proofErr w:type="spellStart"/>
            <w:r w:rsidRPr="00845E23">
              <w:rPr>
                <w:rFonts w:ascii="Calibri" w:eastAsia="Times New Roman" w:hAnsi="Calibri" w:cs="Calibri"/>
                <w:color w:val="000000"/>
                <w:kern w:val="0"/>
                <w:lang w:eastAsia="pl-PL"/>
                <w14:ligatures w14:val="none"/>
              </w:rPr>
              <w:t>have</w:t>
            </w:r>
            <w:proofErr w:type="spellEnd"/>
            <w:r w:rsidRPr="00845E23">
              <w:rPr>
                <w:rFonts w:ascii="Calibri" w:eastAsia="Times New Roman" w:hAnsi="Calibri" w:cs="Calibri"/>
                <w:color w:val="000000"/>
                <w:kern w:val="0"/>
                <w:lang w:eastAsia="pl-PL"/>
                <w14:ligatures w14:val="none"/>
              </w:rPr>
              <w:t xml:space="preserve"> 12 </w:t>
            </w:r>
            <w:proofErr w:type="spellStart"/>
            <w:r w:rsidRPr="00845E23">
              <w:rPr>
                <w:rFonts w:ascii="Calibri" w:eastAsia="Times New Roman" w:hAnsi="Calibri" w:cs="Calibri"/>
                <w:color w:val="000000"/>
                <w:kern w:val="0"/>
                <w:lang w:eastAsia="pl-PL"/>
                <w14:ligatures w14:val="none"/>
              </w:rPr>
              <w:t>transmembrane</w:t>
            </w:r>
            <w:proofErr w:type="spellEnd"/>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helicies</w:t>
            </w:r>
            <w:proofErr w:type="spellEnd"/>
            <w:r w:rsidRPr="00845E23">
              <w:rPr>
                <w:rFonts w:ascii="Calibri" w:eastAsia="Times New Roman" w:hAnsi="Calibri" w:cs="Calibri"/>
                <w:color w:val="000000"/>
                <w:kern w:val="0"/>
                <w:lang w:eastAsia="pl-PL"/>
                <w14:ligatures w14:val="none"/>
              </w:rPr>
              <w:t>.</w:t>
            </w:r>
          </w:p>
        </w:tc>
      </w:tr>
      <w:tr w:rsidR="00845E23" w:rsidRPr="00044B4E" w14:paraId="30EF9E88" w14:textId="77777777" w:rsidTr="00C13A76">
        <w:trPr>
          <w:trHeight w:val="12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42544F05"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AT4G26090</w:t>
            </w:r>
          </w:p>
        </w:tc>
        <w:tc>
          <w:tcPr>
            <w:tcW w:w="1260" w:type="dxa"/>
            <w:noWrap/>
            <w:vAlign w:val="center"/>
            <w:hideMark/>
          </w:tcPr>
          <w:p w14:paraId="37684E01"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RPS2</w:t>
            </w:r>
          </w:p>
        </w:tc>
        <w:tc>
          <w:tcPr>
            <w:tcW w:w="2040" w:type="dxa"/>
            <w:noWrap/>
            <w:vAlign w:val="center"/>
            <w:hideMark/>
          </w:tcPr>
          <w:p w14:paraId="37855860"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-1,34</w:t>
            </w:r>
          </w:p>
        </w:tc>
        <w:tc>
          <w:tcPr>
            <w:tcW w:w="5725" w:type="dxa"/>
            <w:vAlign w:val="center"/>
            <w:hideMark/>
          </w:tcPr>
          <w:p w14:paraId="119C36D1"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a plasma membrane protein with leucine-rich repeat, leucine zipper, and P loop domains that confers resistance to Pseudomonas syringae infection by interacting with the </w:t>
            </w:r>
            <w:proofErr w:type="spellStart"/>
            <w:r w:rsidRPr="00845E23">
              <w:rPr>
                <w:rFonts w:ascii="Calibri" w:eastAsia="Times New Roman" w:hAnsi="Calibri" w:cs="Calibri"/>
                <w:color w:val="000000"/>
                <w:kern w:val="0"/>
                <w:lang w:val="en-GB" w:eastAsia="pl-PL"/>
                <w14:ligatures w14:val="none"/>
              </w:rPr>
              <w:t>avirulence</w:t>
            </w:r>
            <w:proofErr w:type="spellEnd"/>
            <w:r w:rsidRPr="00845E23">
              <w:rPr>
                <w:rFonts w:ascii="Calibri" w:eastAsia="Times New Roman" w:hAnsi="Calibri" w:cs="Calibri"/>
                <w:color w:val="000000"/>
                <w:kern w:val="0"/>
                <w:lang w:val="en-GB" w:eastAsia="pl-PL"/>
                <w14:ligatures w14:val="none"/>
              </w:rPr>
              <w:t xml:space="preserve"> gene avrRpt2. RPS2 protein interacts directly with plasma membrane associated protein RIN4 and this interaction is disrupted by avrRpt2.</w:t>
            </w:r>
          </w:p>
        </w:tc>
      </w:tr>
      <w:tr w:rsidR="00845E23" w:rsidRPr="00044B4E" w14:paraId="7C40E270" w14:textId="77777777" w:rsidTr="00C13A7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3A1A07E"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AT1G51850</w:t>
            </w:r>
          </w:p>
        </w:tc>
        <w:tc>
          <w:tcPr>
            <w:tcW w:w="1260" w:type="dxa"/>
            <w:noWrap/>
            <w:vAlign w:val="center"/>
            <w:hideMark/>
          </w:tcPr>
          <w:p w14:paraId="1A9700DB"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SIF2</w:t>
            </w:r>
          </w:p>
        </w:tc>
        <w:tc>
          <w:tcPr>
            <w:tcW w:w="2040" w:type="dxa"/>
            <w:noWrap/>
            <w:vAlign w:val="center"/>
            <w:hideMark/>
          </w:tcPr>
          <w:p w14:paraId="2E08876F"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-1,29</w:t>
            </w:r>
          </w:p>
        </w:tc>
        <w:tc>
          <w:tcPr>
            <w:tcW w:w="5725" w:type="dxa"/>
            <w:vAlign w:val="center"/>
            <w:hideMark/>
          </w:tcPr>
          <w:p w14:paraId="184077CE"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proofErr w:type="spellStart"/>
            <w:r w:rsidRPr="00845E23">
              <w:rPr>
                <w:rFonts w:ascii="Calibri" w:eastAsia="Times New Roman" w:hAnsi="Calibri" w:cs="Calibri"/>
                <w:color w:val="000000"/>
                <w:kern w:val="0"/>
                <w:lang w:val="en-GB" w:eastAsia="pl-PL"/>
                <w14:ligatures w14:val="none"/>
              </w:rPr>
              <w:t>Malectin</w:t>
            </w:r>
            <w:proofErr w:type="spellEnd"/>
            <w:r w:rsidRPr="00845E23">
              <w:rPr>
                <w:rFonts w:ascii="Calibri" w:eastAsia="Times New Roman" w:hAnsi="Calibri" w:cs="Calibri"/>
                <w:color w:val="000000"/>
                <w:kern w:val="0"/>
                <w:lang w:val="en-GB" w:eastAsia="pl-PL"/>
                <w14:ligatures w14:val="none"/>
              </w:rPr>
              <w:t xml:space="preserve">-like receptor-like kinase involved in MAMP mediated stomatal immunity. Interacts with BAK1/FLS2 </w:t>
            </w:r>
            <w:proofErr w:type="spellStart"/>
            <w:r w:rsidRPr="00845E23">
              <w:rPr>
                <w:rFonts w:ascii="Calibri" w:eastAsia="Times New Roman" w:hAnsi="Calibri" w:cs="Calibri"/>
                <w:color w:val="000000"/>
                <w:kern w:val="0"/>
                <w:lang w:val="en-GB" w:eastAsia="pl-PL"/>
                <w14:ligatures w14:val="none"/>
              </w:rPr>
              <w:t>signaling</w:t>
            </w:r>
            <w:proofErr w:type="spellEnd"/>
            <w:r w:rsidRPr="00845E23">
              <w:rPr>
                <w:rFonts w:ascii="Calibri" w:eastAsia="Times New Roman" w:hAnsi="Calibri" w:cs="Calibri"/>
                <w:color w:val="000000"/>
                <w:kern w:val="0"/>
                <w:lang w:val="en-GB" w:eastAsia="pl-PL"/>
                <w14:ligatures w14:val="none"/>
              </w:rPr>
              <w:t xml:space="preserve"> </w:t>
            </w:r>
            <w:r w:rsidRPr="00845E23">
              <w:rPr>
                <w:rFonts w:ascii="Calibri" w:eastAsia="Times New Roman" w:hAnsi="Calibri" w:cs="Calibri"/>
                <w:color w:val="000000"/>
                <w:kern w:val="0"/>
                <w:lang w:val="en-GB" w:eastAsia="pl-PL"/>
                <w14:ligatures w14:val="none"/>
              </w:rPr>
              <w:lastRenderedPageBreak/>
              <w:t>complex and subsequently phosphorylates and activates SLAC1.</w:t>
            </w:r>
          </w:p>
        </w:tc>
      </w:tr>
      <w:tr w:rsidR="00845E23" w:rsidRPr="00044B4E" w14:paraId="192C3B81" w14:textId="77777777" w:rsidTr="00C13A76">
        <w:trPr>
          <w:trHeight w:val="3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603BE343"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lastRenderedPageBreak/>
              <w:t>AT4G21400</w:t>
            </w:r>
          </w:p>
        </w:tc>
        <w:tc>
          <w:tcPr>
            <w:tcW w:w="1260" w:type="dxa"/>
            <w:noWrap/>
            <w:vAlign w:val="center"/>
            <w:hideMark/>
          </w:tcPr>
          <w:p w14:paraId="748A75DA"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CRK28</w:t>
            </w:r>
          </w:p>
        </w:tc>
        <w:tc>
          <w:tcPr>
            <w:tcW w:w="2040" w:type="dxa"/>
            <w:noWrap/>
            <w:vAlign w:val="center"/>
            <w:hideMark/>
          </w:tcPr>
          <w:p w14:paraId="7ED81757"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-1,10</w:t>
            </w:r>
          </w:p>
        </w:tc>
        <w:tc>
          <w:tcPr>
            <w:tcW w:w="5725" w:type="dxa"/>
            <w:vAlign w:val="center"/>
            <w:hideMark/>
          </w:tcPr>
          <w:p w14:paraId="43045B38" w14:textId="282BCF91"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 CRK28 associated with BAK1 or FLS2</w:t>
            </w:r>
            <w:r w:rsidR="004755ED">
              <w:rPr>
                <w:rFonts w:ascii="Calibri" w:eastAsia="Times New Roman" w:hAnsi="Calibri" w:cs="Calibri"/>
                <w:color w:val="000000"/>
                <w:kern w:val="0"/>
                <w:lang w:val="en-GB" w:eastAsia="pl-PL"/>
                <w14:ligatures w14:val="none"/>
              </w:rPr>
              <w:t>.</w:t>
            </w:r>
          </w:p>
        </w:tc>
      </w:tr>
      <w:tr w:rsidR="00845E23" w:rsidRPr="00044B4E" w14:paraId="5ABA3F98" w14:textId="77777777" w:rsidTr="00C13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50F37444"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AT4G21410</w:t>
            </w:r>
          </w:p>
        </w:tc>
        <w:tc>
          <w:tcPr>
            <w:tcW w:w="1260" w:type="dxa"/>
            <w:noWrap/>
            <w:vAlign w:val="center"/>
            <w:hideMark/>
          </w:tcPr>
          <w:p w14:paraId="26C03B95"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CRK29</w:t>
            </w:r>
          </w:p>
        </w:tc>
        <w:tc>
          <w:tcPr>
            <w:tcW w:w="2040" w:type="dxa"/>
            <w:noWrap/>
            <w:vAlign w:val="center"/>
            <w:hideMark/>
          </w:tcPr>
          <w:p w14:paraId="37BA85AB"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-1,10</w:t>
            </w:r>
          </w:p>
        </w:tc>
        <w:tc>
          <w:tcPr>
            <w:tcW w:w="5725" w:type="dxa"/>
            <w:vAlign w:val="center"/>
            <w:hideMark/>
          </w:tcPr>
          <w:p w14:paraId="09A6AFFD"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w:t>
            </w:r>
          </w:p>
        </w:tc>
      </w:tr>
      <w:tr w:rsidR="00845E23" w:rsidRPr="00044B4E" w14:paraId="06A499AC" w14:textId="77777777" w:rsidTr="00C13A76">
        <w:trPr>
          <w:trHeight w:val="9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36269D62"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At4g23190</w:t>
            </w:r>
          </w:p>
        </w:tc>
        <w:tc>
          <w:tcPr>
            <w:tcW w:w="1260" w:type="dxa"/>
            <w:noWrap/>
            <w:vAlign w:val="center"/>
            <w:hideMark/>
          </w:tcPr>
          <w:p w14:paraId="0270996A"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CRK11</w:t>
            </w:r>
          </w:p>
        </w:tc>
        <w:tc>
          <w:tcPr>
            <w:tcW w:w="2040" w:type="dxa"/>
            <w:noWrap/>
            <w:vAlign w:val="center"/>
            <w:hideMark/>
          </w:tcPr>
          <w:p w14:paraId="34BA1EB2"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-1,06</w:t>
            </w:r>
          </w:p>
        </w:tc>
        <w:tc>
          <w:tcPr>
            <w:tcW w:w="5725" w:type="dxa"/>
            <w:vAlign w:val="center"/>
            <w:hideMark/>
          </w:tcPr>
          <w:p w14:paraId="63386C6E"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putative receptor-like protein kinase that is induced by the soil-borne vascular bacteria, </w:t>
            </w:r>
            <w:proofErr w:type="spellStart"/>
            <w:r w:rsidRPr="00845E23">
              <w:rPr>
                <w:rFonts w:ascii="Calibri" w:eastAsia="Times New Roman" w:hAnsi="Calibri" w:cs="Calibri"/>
                <w:i/>
                <w:iCs/>
                <w:color w:val="000000"/>
                <w:kern w:val="0"/>
                <w:lang w:val="en-GB" w:eastAsia="pl-PL"/>
                <w14:ligatures w14:val="none"/>
              </w:rPr>
              <w:t>Ralstonia</w:t>
            </w:r>
            <w:proofErr w:type="spellEnd"/>
            <w:r w:rsidRPr="00845E23">
              <w:rPr>
                <w:rFonts w:ascii="Calibri" w:eastAsia="Times New Roman" w:hAnsi="Calibri" w:cs="Calibri"/>
                <w:i/>
                <w:iCs/>
                <w:color w:val="000000"/>
                <w:kern w:val="0"/>
                <w:lang w:val="en-GB" w:eastAsia="pl-PL"/>
                <w14:ligatures w14:val="none"/>
              </w:rPr>
              <w:t xml:space="preserve"> solanacearum</w:t>
            </w:r>
            <w:r w:rsidRPr="00845E23">
              <w:rPr>
                <w:rFonts w:ascii="Calibri" w:eastAsia="Times New Roman" w:hAnsi="Calibri" w:cs="Calibri"/>
                <w:color w:val="000000"/>
                <w:kern w:val="0"/>
                <w:lang w:val="en-GB" w:eastAsia="pl-PL"/>
                <w14:ligatures w14:val="none"/>
              </w:rPr>
              <w:t xml:space="preserve">. CRK11 induced by </w:t>
            </w:r>
            <w:proofErr w:type="spellStart"/>
            <w:r w:rsidRPr="00845E23">
              <w:rPr>
                <w:rFonts w:ascii="Calibri" w:eastAsia="Times New Roman" w:hAnsi="Calibri" w:cs="Calibri"/>
                <w:i/>
                <w:iCs/>
                <w:color w:val="000000"/>
                <w:kern w:val="0"/>
                <w:lang w:val="en-GB" w:eastAsia="pl-PL"/>
                <w14:ligatures w14:val="none"/>
              </w:rPr>
              <w:t>Pst</w:t>
            </w:r>
            <w:proofErr w:type="spellEnd"/>
            <w:r w:rsidRPr="00845E23">
              <w:rPr>
                <w:rFonts w:ascii="Calibri" w:eastAsia="Times New Roman" w:hAnsi="Calibri" w:cs="Calibri"/>
                <w:color w:val="000000"/>
                <w:kern w:val="0"/>
                <w:lang w:val="en-GB" w:eastAsia="pl-PL"/>
                <w14:ligatures w14:val="none"/>
              </w:rPr>
              <w:t xml:space="preserve"> and SA. Involved in defense response to bacterium.</w:t>
            </w:r>
          </w:p>
        </w:tc>
      </w:tr>
      <w:tr w:rsidR="00845E23" w:rsidRPr="00044B4E" w14:paraId="139DC0C0"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3A80990"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AT5G48380</w:t>
            </w:r>
          </w:p>
        </w:tc>
        <w:tc>
          <w:tcPr>
            <w:tcW w:w="1260" w:type="dxa"/>
            <w:noWrap/>
            <w:vAlign w:val="center"/>
            <w:hideMark/>
          </w:tcPr>
          <w:p w14:paraId="1083CE5B"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BIR1</w:t>
            </w:r>
          </w:p>
        </w:tc>
        <w:tc>
          <w:tcPr>
            <w:tcW w:w="2040" w:type="dxa"/>
            <w:noWrap/>
            <w:vAlign w:val="center"/>
            <w:hideMark/>
          </w:tcPr>
          <w:p w14:paraId="2B90220C"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-1,01</w:t>
            </w:r>
          </w:p>
        </w:tc>
        <w:tc>
          <w:tcPr>
            <w:tcW w:w="5725" w:type="dxa"/>
            <w:vAlign w:val="center"/>
            <w:hideMark/>
          </w:tcPr>
          <w:p w14:paraId="5376E78C" w14:textId="460425D2"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a BAK1-interacting receptor-like kinase named BIR1. Negatively regulates multiple plant resistance </w:t>
            </w:r>
            <w:proofErr w:type="spellStart"/>
            <w:r w:rsidRPr="00845E23">
              <w:rPr>
                <w:rFonts w:ascii="Calibri" w:eastAsia="Times New Roman" w:hAnsi="Calibri" w:cs="Calibri"/>
                <w:color w:val="000000"/>
                <w:kern w:val="0"/>
                <w:lang w:val="en-GB" w:eastAsia="pl-PL"/>
                <w14:ligatures w14:val="none"/>
              </w:rPr>
              <w:t>signaling</w:t>
            </w:r>
            <w:proofErr w:type="spellEnd"/>
            <w:r w:rsidRPr="00845E23">
              <w:rPr>
                <w:rFonts w:ascii="Calibri" w:eastAsia="Times New Roman" w:hAnsi="Calibri" w:cs="Calibri"/>
                <w:color w:val="000000"/>
                <w:kern w:val="0"/>
                <w:lang w:val="en-GB" w:eastAsia="pl-PL"/>
                <w14:ligatures w14:val="none"/>
              </w:rPr>
              <w:t xml:space="preserve"> pathways</w:t>
            </w:r>
            <w:r w:rsidR="004755ED">
              <w:rPr>
                <w:rFonts w:ascii="Calibri" w:eastAsia="Times New Roman" w:hAnsi="Calibri" w:cs="Calibri"/>
                <w:color w:val="000000"/>
                <w:kern w:val="0"/>
                <w:lang w:val="en-GB" w:eastAsia="pl-PL"/>
                <w14:ligatures w14:val="none"/>
              </w:rPr>
              <w:t>.</w:t>
            </w:r>
          </w:p>
        </w:tc>
      </w:tr>
      <w:tr w:rsidR="00845E23" w:rsidRPr="00044B4E" w14:paraId="136F8A6A" w14:textId="77777777" w:rsidTr="00C13A76">
        <w:trPr>
          <w:trHeight w:val="753"/>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25F845E4"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AT1G33970</w:t>
            </w:r>
          </w:p>
        </w:tc>
        <w:tc>
          <w:tcPr>
            <w:tcW w:w="1260" w:type="dxa"/>
            <w:noWrap/>
            <w:vAlign w:val="center"/>
            <w:hideMark/>
          </w:tcPr>
          <w:p w14:paraId="409E01E3"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IAN9</w:t>
            </w:r>
          </w:p>
        </w:tc>
        <w:tc>
          <w:tcPr>
            <w:tcW w:w="2040" w:type="dxa"/>
            <w:noWrap/>
            <w:vAlign w:val="center"/>
            <w:hideMark/>
          </w:tcPr>
          <w:p w14:paraId="08BB34F0"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-0,85</w:t>
            </w:r>
          </w:p>
        </w:tc>
        <w:tc>
          <w:tcPr>
            <w:tcW w:w="5725" w:type="dxa"/>
            <w:vAlign w:val="center"/>
            <w:hideMark/>
          </w:tcPr>
          <w:p w14:paraId="10EA9C01"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IAN9 is a member of a small family of proteins. It's expression is repressed upon pathogen infection and loss of function mutants show increased resistance to bacterial pathogens.</w:t>
            </w:r>
          </w:p>
        </w:tc>
      </w:tr>
      <w:tr w:rsidR="00845E23" w:rsidRPr="00044B4E" w14:paraId="1164B258"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391DB2E4"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AT4G23270</w:t>
            </w:r>
          </w:p>
        </w:tc>
        <w:tc>
          <w:tcPr>
            <w:tcW w:w="1260" w:type="dxa"/>
            <w:noWrap/>
            <w:vAlign w:val="center"/>
            <w:hideMark/>
          </w:tcPr>
          <w:p w14:paraId="43649903"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CRK19</w:t>
            </w:r>
          </w:p>
        </w:tc>
        <w:tc>
          <w:tcPr>
            <w:tcW w:w="2040" w:type="dxa"/>
            <w:noWrap/>
            <w:vAlign w:val="center"/>
            <w:hideMark/>
          </w:tcPr>
          <w:p w14:paraId="054EED2C"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-0,83</w:t>
            </w:r>
          </w:p>
        </w:tc>
        <w:tc>
          <w:tcPr>
            <w:tcW w:w="5725" w:type="dxa"/>
            <w:vAlign w:val="center"/>
            <w:hideMark/>
          </w:tcPr>
          <w:p w14:paraId="3FED65BC" w14:textId="09EC36EF"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 cysteine-rich receptor-like protein kinase. Involved in defense response to bacterium and salicylic acid</w:t>
            </w:r>
            <w:r w:rsidR="004755ED">
              <w:rPr>
                <w:rFonts w:ascii="Calibri" w:eastAsia="Times New Roman" w:hAnsi="Calibri" w:cs="Calibri"/>
                <w:color w:val="000000"/>
                <w:kern w:val="0"/>
                <w:lang w:val="en-GB" w:eastAsia="pl-PL"/>
                <w14:ligatures w14:val="none"/>
              </w:rPr>
              <w:t>.</w:t>
            </w:r>
          </w:p>
        </w:tc>
      </w:tr>
      <w:tr w:rsidR="00845E23" w:rsidRPr="00044B4E" w14:paraId="31507A65" w14:textId="77777777" w:rsidTr="00C13A76">
        <w:trPr>
          <w:trHeight w:val="15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5F1A93A9"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AT3G08510</w:t>
            </w:r>
          </w:p>
        </w:tc>
        <w:tc>
          <w:tcPr>
            <w:tcW w:w="1260" w:type="dxa"/>
            <w:noWrap/>
            <w:vAlign w:val="center"/>
            <w:hideMark/>
          </w:tcPr>
          <w:p w14:paraId="199FB55B"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PLC2</w:t>
            </w:r>
          </w:p>
        </w:tc>
        <w:tc>
          <w:tcPr>
            <w:tcW w:w="2040" w:type="dxa"/>
            <w:noWrap/>
            <w:vAlign w:val="center"/>
            <w:hideMark/>
          </w:tcPr>
          <w:p w14:paraId="1EFD1A4F"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-0,81</w:t>
            </w:r>
          </w:p>
        </w:tc>
        <w:tc>
          <w:tcPr>
            <w:tcW w:w="5725" w:type="dxa"/>
            <w:vAlign w:val="center"/>
            <w:hideMark/>
          </w:tcPr>
          <w:p w14:paraId="6EE70FA7"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Phosphoinositide-specific phospholipase C (PI-PLC), </w:t>
            </w:r>
            <w:proofErr w:type="spellStart"/>
            <w:r w:rsidRPr="00845E23">
              <w:rPr>
                <w:rFonts w:ascii="Calibri" w:eastAsia="Times New Roman" w:hAnsi="Calibri" w:cs="Calibri"/>
                <w:color w:val="000000"/>
                <w:kern w:val="0"/>
                <w:lang w:val="en-GB" w:eastAsia="pl-PL"/>
                <w14:ligatures w14:val="none"/>
              </w:rPr>
              <w:t>catalyzes</w:t>
            </w:r>
            <w:proofErr w:type="spellEnd"/>
            <w:r w:rsidRPr="00845E23">
              <w:rPr>
                <w:rFonts w:ascii="Calibri" w:eastAsia="Times New Roman" w:hAnsi="Calibri" w:cs="Calibri"/>
                <w:color w:val="000000"/>
                <w:kern w:val="0"/>
                <w:lang w:val="en-GB" w:eastAsia="pl-PL"/>
                <w14:ligatures w14:val="none"/>
              </w:rPr>
              <w:t xml:space="preserve"> hydrolysis of phosphatidylinositol 4,5-bisphosphate into inositol 1,4,5-trisphosphate and diacylglycerol. It is involved in auxin biosynthesis and </w:t>
            </w:r>
            <w:proofErr w:type="spellStart"/>
            <w:r w:rsidRPr="00845E23">
              <w:rPr>
                <w:rFonts w:ascii="Calibri" w:eastAsia="Times New Roman" w:hAnsi="Calibri" w:cs="Calibri"/>
                <w:color w:val="000000"/>
                <w:kern w:val="0"/>
                <w:lang w:val="en-GB" w:eastAsia="pl-PL"/>
                <w14:ligatures w14:val="none"/>
              </w:rPr>
              <w:t>signaling</w:t>
            </w:r>
            <w:proofErr w:type="spellEnd"/>
            <w:r w:rsidRPr="00845E23">
              <w:rPr>
                <w:rFonts w:ascii="Calibri" w:eastAsia="Times New Roman" w:hAnsi="Calibri" w:cs="Calibri"/>
                <w:color w:val="000000"/>
                <w:kern w:val="0"/>
                <w:lang w:val="en-GB" w:eastAsia="pl-PL"/>
                <w14:ligatures w14:val="none"/>
              </w:rPr>
              <w:t>, modulating development of both male and female gametophytes. It also regulates MAMP-triggered immunity by modulating ROS production.</w:t>
            </w:r>
          </w:p>
        </w:tc>
      </w:tr>
      <w:tr w:rsidR="00845E23" w:rsidRPr="00044B4E" w14:paraId="7788E351" w14:textId="77777777" w:rsidTr="00C13A7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77450ED"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AT4G03960</w:t>
            </w:r>
          </w:p>
        </w:tc>
        <w:tc>
          <w:tcPr>
            <w:tcW w:w="1260" w:type="dxa"/>
            <w:noWrap/>
            <w:vAlign w:val="center"/>
            <w:hideMark/>
          </w:tcPr>
          <w:p w14:paraId="445184F1"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PFA-DSP4</w:t>
            </w:r>
          </w:p>
        </w:tc>
        <w:tc>
          <w:tcPr>
            <w:tcW w:w="2040" w:type="dxa"/>
            <w:noWrap/>
            <w:vAlign w:val="center"/>
            <w:hideMark/>
          </w:tcPr>
          <w:p w14:paraId="0665DA4F"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-0,80</w:t>
            </w:r>
          </w:p>
        </w:tc>
        <w:tc>
          <w:tcPr>
            <w:tcW w:w="5725" w:type="dxa"/>
            <w:vAlign w:val="center"/>
            <w:hideMark/>
          </w:tcPr>
          <w:p w14:paraId="0C74CA7D"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Encodes an atypical dual-</w:t>
            </w:r>
            <w:proofErr w:type="spellStart"/>
            <w:r w:rsidRPr="00845E23">
              <w:rPr>
                <w:rFonts w:ascii="Calibri" w:eastAsia="Times New Roman" w:hAnsi="Calibri" w:cs="Calibri"/>
                <w:color w:val="000000"/>
                <w:kern w:val="0"/>
                <w:lang w:val="en-GB" w:eastAsia="pl-PL"/>
                <w14:ligatures w14:val="none"/>
              </w:rPr>
              <w:t>speci</w:t>
            </w:r>
            <w:proofErr w:type="spellEnd"/>
            <w:r w:rsidRPr="00845E23">
              <w:rPr>
                <w:rFonts w:ascii="Calibri" w:eastAsia="Times New Roman" w:hAnsi="Calibri" w:cs="Calibri"/>
                <w:color w:val="000000"/>
                <w:kern w:val="0"/>
                <w:lang w:eastAsia="pl-PL"/>
                <w14:ligatures w14:val="none"/>
              </w:rPr>
              <w:t>ﬁ</w:t>
            </w:r>
            <w:r w:rsidRPr="00845E23">
              <w:rPr>
                <w:rFonts w:ascii="Calibri" w:eastAsia="Times New Roman" w:hAnsi="Calibri" w:cs="Calibri"/>
                <w:color w:val="000000"/>
                <w:kern w:val="0"/>
                <w:lang w:val="en-GB" w:eastAsia="pl-PL"/>
                <w14:ligatures w14:val="none"/>
              </w:rPr>
              <w:t xml:space="preserve">city phosphatase involved in the negative regulation of defense response to a bacterial pathogen, </w:t>
            </w:r>
            <w:r w:rsidRPr="00845E23">
              <w:rPr>
                <w:rFonts w:ascii="Calibri" w:eastAsia="Times New Roman" w:hAnsi="Calibri" w:cs="Calibri"/>
                <w:i/>
                <w:iCs/>
                <w:color w:val="000000"/>
                <w:kern w:val="0"/>
                <w:lang w:val="en-GB" w:eastAsia="pl-PL"/>
                <w14:ligatures w14:val="none"/>
              </w:rPr>
              <w:t>P. syringae</w:t>
            </w:r>
            <w:r w:rsidRPr="00845E23">
              <w:rPr>
                <w:rFonts w:ascii="Calibri" w:eastAsia="Times New Roman" w:hAnsi="Calibri" w:cs="Calibri"/>
                <w:color w:val="000000"/>
                <w:kern w:val="0"/>
                <w:lang w:val="en-GB" w:eastAsia="pl-PL"/>
                <w14:ligatures w14:val="none"/>
              </w:rPr>
              <w:t xml:space="preserve"> pv. </w:t>
            </w:r>
            <w:r w:rsidRPr="00845E23">
              <w:rPr>
                <w:rFonts w:ascii="Calibri" w:eastAsia="Times New Roman" w:hAnsi="Calibri" w:cs="Calibri"/>
                <w:i/>
                <w:iCs/>
                <w:color w:val="000000"/>
                <w:kern w:val="0"/>
                <w:lang w:val="en-GB" w:eastAsia="pl-PL"/>
                <w14:ligatures w14:val="none"/>
              </w:rPr>
              <w:t>tomato</w:t>
            </w:r>
            <w:r w:rsidRPr="00845E23">
              <w:rPr>
                <w:rFonts w:ascii="Calibri" w:eastAsia="Times New Roman" w:hAnsi="Calibri" w:cs="Calibri"/>
                <w:color w:val="000000"/>
                <w:kern w:val="0"/>
                <w:lang w:val="en-GB" w:eastAsia="pl-PL"/>
                <w14:ligatures w14:val="none"/>
              </w:rPr>
              <w:t>.</w:t>
            </w:r>
          </w:p>
        </w:tc>
      </w:tr>
      <w:tr w:rsidR="00845E23" w:rsidRPr="00845E23" w14:paraId="300015E2" w14:textId="77777777" w:rsidTr="00C13A76">
        <w:trPr>
          <w:trHeight w:val="148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59858652" w14:textId="77777777" w:rsidR="00845E23" w:rsidRPr="00845E23" w:rsidRDefault="00845E23" w:rsidP="00845E23">
            <w:pPr>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AT1G12220</w:t>
            </w:r>
          </w:p>
        </w:tc>
        <w:tc>
          <w:tcPr>
            <w:tcW w:w="1260" w:type="dxa"/>
            <w:noWrap/>
            <w:vAlign w:val="center"/>
            <w:hideMark/>
          </w:tcPr>
          <w:p w14:paraId="727EE734"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RPS5</w:t>
            </w:r>
          </w:p>
        </w:tc>
        <w:tc>
          <w:tcPr>
            <w:tcW w:w="2040" w:type="dxa"/>
            <w:noWrap/>
            <w:vAlign w:val="center"/>
            <w:hideMark/>
          </w:tcPr>
          <w:p w14:paraId="0978B9EB"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eastAsia="pl-PL"/>
                <w14:ligatures w14:val="none"/>
              </w:rPr>
              <w:t>-0,80</w:t>
            </w:r>
          </w:p>
        </w:tc>
        <w:tc>
          <w:tcPr>
            <w:tcW w:w="5725" w:type="dxa"/>
            <w:vAlign w:val="center"/>
            <w:hideMark/>
          </w:tcPr>
          <w:p w14:paraId="778121F1" w14:textId="77777777" w:rsidR="00845E23" w:rsidRPr="00845E23" w:rsidRDefault="00845E23"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845E23">
              <w:rPr>
                <w:rFonts w:ascii="Calibri" w:eastAsia="Times New Roman" w:hAnsi="Calibri" w:cs="Calibri"/>
                <w:color w:val="000000"/>
                <w:kern w:val="0"/>
                <w:lang w:val="en-GB" w:eastAsia="pl-PL"/>
                <w14:ligatures w14:val="none"/>
              </w:rPr>
              <w:t xml:space="preserve">Resistance gene, mediates resistance against the bacterial pathogen </w:t>
            </w:r>
            <w:r w:rsidRPr="00845E23">
              <w:rPr>
                <w:rFonts w:ascii="Calibri" w:eastAsia="Times New Roman" w:hAnsi="Calibri" w:cs="Calibri"/>
                <w:i/>
                <w:iCs/>
                <w:color w:val="000000"/>
                <w:kern w:val="0"/>
                <w:lang w:val="en-GB" w:eastAsia="pl-PL"/>
                <w14:ligatures w14:val="none"/>
              </w:rPr>
              <w:t>Pseudomonas syringae</w:t>
            </w:r>
            <w:r w:rsidRPr="00845E23">
              <w:rPr>
                <w:rFonts w:ascii="Calibri" w:eastAsia="Times New Roman" w:hAnsi="Calibri" w:cs="Calibri"/>
                <w:color w:val="000000"/>
                <w:kern w:val="0"/>
                <w:lang w:val="en-GB" w:eastAsia="pl-PL"/>
                <w14:ligatures w14:val="none"/>
              </w:rPr>
              <w:t xml:space="preserve">. Contains a putative nucleotide binding site composed of kinase-1a (or P-loop), kinase-2a, and putative kinase-3a domains, 13 imperfect leucine-rich repeats, a potential leucine zipper, and two uncharacterized motifs that are well conserved in products of previously isolated R genes. </w:t>
            </w:r>
            <w:proofErr w:type="spellStart"/>
            <w:r w:rsidRPr="00845E23">
              <w:rPr>
                <w:rFonts w:ascii="Calibri" w:eastAsia="Times New Roman" w:hAnsi="Calibri" w:cs="Calibri"/>
                <w:color w:val="000000"/>
                <w:kern w:val="0"/>
                <w:lang w:eastAsia="pl-PL"/>
                <w14:ligatures w14:val="none"/>
              </w:rPr>
              <w:t>Confers</w:t>
            </w:r>
            <w:proofErr w:type="spellEnd"/>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resistance</w:t>
            </w:r>
            <w:proofErr w:type="spellEnd"/>
            <w:r w:rsidRPr="00845E23">
              <w:rPr>
                <w:rFonts w:ascii="Calibri" w:eastAsia="Times New Roman" w:hAnsi="Calibri" w:cs="Calibri"/>
                <w:color w:val="000000"/>
                <w:kern w:val="0"/>
                <w:lang w:eastAsia="pl-PL"/>
                <w14:ligatures w14:val="none"/>
              </w:rPr>
              <w:t xml:space="preserve"> to </w:t>
            </w:r>
            <w:proofErr w:type="spellStart"/>
            <w:r w:rsidRPr="00845E23">
              <w:rPr>
                <w:rFonts w:ascii="Calibri" w:eastAsia="Times New Roman" w:hAnsi="Calibri" w:cs="Calibri"/>
                <w:i/>
                <w:iCs/>
                <w:color w:val="000000"/>
                <w:kern w:val="0"/>
                <w:lang w:eastAsia="pl-PL"/>
                <w14:ligatures w14:val="none"/>
              </w:rPr>
              <w:t>Pseudomonas</w:t>
            </w:r>
            <w:proofErr w:type="spellEnd"/>
            <w:r w:rsidRPr="00845E23">
              <w:rPr>
                <w:rFonts w:ascii="Calibri" w:eastAsia="Times New Roman" w:hAnsi="Calibri" w:cs="Calibri"/>
                <w:i/>
                <w:iCs/>
                <w:color w:val="000000"/>
                <w:kern w:val="0"/>
                <w:lang w:eastAsia="pl-PL"/>
                <w14:ligatures w14:val="none"/>
              </w:rPr>
              <w:t xml:space="preserve"> syringae</w:t>
            </w:r>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strains</w:t>
            </w:r>
            <w:proofErr w:type="spellEnd"/>
            <w:r w:rsidRPr="00845E23">
              <w:rPr>
                <w:rFonts w:ascii="Calibri" w:eastAsia="Times New Roman" w:hAnsi="Calibri" w:cs="Calibri"/>
                <w:color w:val="000000"/>
                <w:kern w:val="0"/>
                <w:lang w:eastAsia="pl-PL"/>
                <w14:ligatures w14:val="none"/>
              </w:rPr>
              <w:t xml:space="preserve"> </w:t>
            </w:r>
            <w:proofErr w:type="spellStart"/>
            <w:r w:rsidRPr="00845E23">
              <w:rPr>
                <w:rFonts w:ascii="Calibri" w:eastAsia="Times New Roman" w:hAnsi="Calibri" w:cs="Calibri"/>
                <w:color w:val="000000"/>
                <w:kern w:val="0"/>
                <w:lang w:eastAsia="pl-PL"/>
                <w14:ligatures w14:val="none"/>
              </w:rPr>
              <w:t>that</w:t>
            </w:r>
            <w:proofErr w:type="spellEnd"/>
            <w:r w:rsidRPr="00845E23">
              <w:rPr>
                <w:rFonts w:ascii="Calibri" w:eastAsia="Times New Roman" w:hAnsi="Calibri" w:cs="Calibri"/>
                <w:color w:val="000000"/>
                <w:kern w:val="0"/>
                <w:lang w:eastAsia="pl-PL"/>
                <w14:ligatures w14:val="none"/>
              </w:rPr>
              <w:t xml:space="preserve"> express </w:t>
            </w:r>
            <w:proofErr w:type="spellStart"/>
            <w:r w:rsidRPr="00845E23">
              <w:rPr>
                <w:rFonts w:ascii="Calibri" w:eastAsia="Times New Roman" w:hAnsi="Calibri" w:cs="Calibri"/>
                <w:color w:val="000000"/>
                <w:kern w:val="0"/>
                <w:lang w:eastAsia="pl-PL"/>
                <w14:ligatures w14:val="none"/>
              </w:rPr>
              <w:t>avrPphB</w:t>
            </w:r>
            <w:proofErr w:type="spellEnd"/>
            <w:r w:rsidRPr="00845E23">
              <w:rPr>
                <w:rFonts w:ascii="Calibri" w:eastAsia="Times New Roman" w:hAnsi="Calibri" w:cs="Calibri"/>
                <w:color w:val="000000"/>
                <w:kern w:val="0"/>
                <w:lang w:eastAsia="pl-PL"/>
                <w14:ligatures w14:val="none"/>
              </w:rPr>
              <w:t>.</w:t>
            </w:r>
          </w:p>
        </w:tc>
      </w:tr>
      <w:tr w:rsidR="00044B4E" w:rsidRPr="00845E23" w14:paraId="609449CE" w14:textId="77777777" w:rsidTr="00044B4E">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1460" w:type="dxa"/>
            <w:noWrap/>
            <w:vAlign w:val="center"/>
          </w:tcPr>
          <w:p w14:paraId="0FF18315" w14:textId="55547C26" w:rsidR="00044B4E" w:rsidRPr="00845E23" w:rsidRDefault="00044B4E" w:rsidP="00044B4E">
            <w:pPr>
              <w:rPr>
                <w:rFonts w:ascii="Calibri" w:eastAsia="Times New Roman" w:hAnsi="Calibri" w:cs="Calibri"/>
                <w:color w:val="000000"/>
                <w:kern w:val="0"/>
                <w:lang w:eastAsia="pl-PL"/>
                <w14:ligatures w14:val="none"/>
              </w:rPr>
            </w:pPr>
            <w:r w:rsidRPr="00901AD3">
              <w:t>AT1G70530</w:t>
            </w:r>
          </w:p>
        </w:tc>
        <w:tc>
          <w:tcPr>
            <w:tcW w:w="1260" w:type="dxa"/>
            <w:noWrap/>
            <w:vAlign w:val="center"/>
          </w:tcPr>
          <w:p w14:paraId="3F3E7234" w14:textId="252BB3F8" w:rsidR="00044B4E" w:rsidRPr="00845E23" w:rsidRDefault="00044B4E" w:rsidP="00044B4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901AD3">
              <w:t>CRK3</w:t>
            </w:r>
          </w:p>
        </w:tc>
        <w:tc>
          <w:tcPr>
            <w:tcW w:w="2040" w:type="dxa"/>
            <w:noWrap/>
            <w:vAlign w:val="center"/>
          </w:tcPr>
          <w:p w14:paraId="59B009DC" w14:textId="18A3F5BB" w:rsidR="00044B4E" w:rsidRPr="00845E23" w:rsidRDefault="00044B4E" w:rsidP="00044B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901AD3">
              <w:t>-0,58</w:t>
            </w:r>
          </w:p>
        </w:tc>
        <w:tc>
          <w:tcPr>
            <w:tcW w:w="5725" w:type="dxa"/>
            <w:vAlign w:val="center"/>
          </w:tcPr>
          <w:p w14:paraId="51771603" w14:textId="362D8678" w:rsidR="00044B4E" w:rsidRPr="00845E23" w:rsidRDefault="00044B4E" w:rsidP="00044B4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044B4E">
              <w:rPr>
                <w:lang w:val="en-GB"/>
              </w:rPr>
              <w:t xml:space="preserve">Encodes a cysteine-rich receptor-like protein kinase. </w:t>
            </w:r>
            <w:proofErr w:type="spellStart"/>
            <w:r w:rsidRPr="00901AD3">
              <w:t>Induced</w:t>
            </w:r>
            <w:proofErr w:type="spellEnd"/>
            <w:r w:rsidRPr="00901AD3">
              <w:t xml:space="preserve"> </w:t>
            </w:r>
            <w:proofErr w:type="spellStart"/>
            <w:r w:rsidRPr="00901AD3">
              <w:t>apoplastic</w:t>
            </w:r>
            <w:proofErr w:type="spellEnd"/>
            <w:r w:rsidRPr="00901AD3">
              <w:t xml:space="preserve"> ROS </w:t>
            </w:r>
            <w:proofErr w:type="spellStart"/>
            <w:r w:rsidRPr="00901AD3">
              <w:t>elevation</w:t>
            </w:r>
            <w:proofErr w:type="spellEnd"/>
            <w:r>
              <w:t>.</w:t>
            </w:r>
          </w:p>
        </w:tc>
      </w:tr>
      <w:tr w:rsidR="00845E23" w:rsidRPr="00044B4E" w14:paraId="3C932780" w14:textId="77777777" w:rsidTr="00C13A76">
        <w:trPr>
          <w:trHeight w:val="300"/>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0E545858"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AT1G30135</w:t>
            </w:r>
          </w:p>
        </w:tc>
        <w:tc>
          <w:tcPr>
            <w:tcW w:w="1260" w:type="dxa"/>
            <w:noWrap/>
            <w:vAlign w:val="center"/>
            <w:hideMark/>
          </w:tcPr>
          <w:p w14:paraId="54CDE842" w14:textId="77777777" w:rsidR="00845E23" w:rsidRPr="00845E23" w:rsidRDefault="00845E23" w:rsidP="00845E2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JAZ8</w:t>
            </w:r>
          </w:p>
        </w:tc>
        <w:tc>
          <w:tcPr>
            <w:tcW w:w="2040" w:type="dxa"/>
            <w:noWrap/>
            <w:vAlign w:val="center"/>
            <w:hideMark/>
          </w:tcPr>
          <w:p w14:paraId="7A53FFF8" w14:textId="77777777" w:rsidR="00845E23" w:rsidRPr="00845E23" w:rsidRDefault="00845E23" w:rsidP="00845E2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3,99</w:t>
            </w:r>
          </w:p>
        </w:tc>
        <w:tc>
          <w:tcPr>
            <w:tcW w:w="5725" w:type="dxa"/>
            <w:vAlign w:val="center"/>
            <w:hideMark/>
          </w:tcPr>
          <w:p w14:paraId="038FBEB0" w14:textId="71D4FEA1" w:rsidR="00845E23" w:rsidRPr="00845E23" w:rsidRDefault="007B24EE" w:rsidP="008C77A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GB" w:eastAsia="pl-PL"/>
                <w14:ligatures w14:val="none"/>
              </w:rPr>
            </w:pPr>
            <w:proofErr w:type="spellStart"/>
            <w:r>
              <w:rPr>
                <w:rFonts w:ascii="Calibri" w:eastAsia="Times New Roman" w:hAnsi="Calibri" w:cs="Calibri"/>
                <w:color w:val="000000"/>
                <w:kern w:val="0"/>
                <w:lang w:val="en-GB" w:eastAsia="pl-PL"/>
                <w14:ligatures w14:val="none"/>
              </w:rPr>
              <w:t>J</w:t>
            </w:r>
            <w:r w:rsidR="00845E23" w:rsidRPr="00845E23">
              <w:rPr>
                <w:rFonts w:ascii="Calibri" w:eastAsia="Times New Roman" w:hAnsi="Calibri" w:cs="Calibri"/>
                <w:color w:val="000000"/>
                <w:kern w:val="0"/>
                <w:lang w:val="en-GB" w:eastAsia="pl-PL"/>
                <w14:ligatures w14:val="none"/>
              </w:rPr>
              <w:t>asmonate</w:t>
            </w:r>
            <w:proofErr w:type="spellEnd"/>
            <w:r w:rsidR="00845E23" w:rsidRPr="00845E23">
              <w:rPr>
                <w:rFonts w:ascii="Calibri" w:eastAsia="Times New Roman" w:hAnsi="Calibri" w:cs="Calibri"/>
                <w:color w:val="000000"/>
                <w:kern w:val="0"/>
                <w:lang w:val="en-GB" w:eastAsia="pl-PL"/>
                <w14:ligatures w14:val="none"/>
              </w:rPr>
              <w:t>-</w:t>
            </w:r>
            <w:proofErr w:type="spellStart"/>
            <w:r w:rsidR="00845E23" w:rsidRPr="00845E23">
              <w:rPr>
                <w:rFonts w:ascii="Calibri" w:eastAsia="Times New Roman" w:hAnsi="Calibri" w:cs="Calibri"/>
                <w:color w:val="000000"/>
                <w:kern w:val="0"/>
                <w:lang w:val="en-GB" w:eastAsia="pl-PL"/>
                <w14:ligatures w14:val="none"/>
              </w:rPr>
              <w:t>zim</w:t>
            </w:r>
            <w:proofErr w:type="spellEnd"/>
            <w:r w:rsidR="00845E23" w:rsidRPr="00845E23">
              <w:rPr>
                <w:rFonts w:ascii="Calibri" w:eastAsia="Times New Roman" w:hAnsi="Calibri" w:cs="Calibri"/>
                <w:color w:val="000000"/>
                <w:kern w:val="0"/>
                <w:lang w:val="en-GB" w:eastAsia="pl-PL"/>
                <w14:ligatures w14:val="none"/>
              </w:rPr>
              <w:t>-domain protein 8, involved in regulation of defense response</w:t>
            </w:r>
            <w:r w:rsidR="004755ED">
              <w:rPr>
                <w:rFonts w:ascii="Calibri" w:eastAsia="Times New Roman" w:hAnsi="Calibri" w:cs="Calibri"/>
                <w:color w:val="000000"/>
                <w:kern w:val="0"/>
                <w:lang w:val="en-GB" w:eastAsia="pl-PL"/>
                <w14:ligatures w14:val="none"/>
              </w:rPr>
              <w:t>.</w:t>
            </w:r>
          </w:p>
        </w:tc>
      </w:tr>
      <w:tr w:rsidR="00845E23" w:rsidRPr="00044B4E" w14:paraId="419FF771" w14:textId="77777777" w:rsidTr="00C13A76">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460" w:type="dxa"/>
            <w:noWrap/>
            <w:vAlign w:val="center"/>
            <w:hideMark/>
          </w:tcPr>
          <w:p w14:paraId="745F30DD" w14:textId="77777777" w:rsidR="00845E23" w:rsidRPr="00845E23" w:rsidRDefault="00845E23" w:rsidP="00845E23">
            <w:pPr>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AT3G22275</w:t>
            </w:r>
          </w:p>
        </w:tc>
        <w:tc>
          <w:tcPr>
            <w:tcW w:w="1260" w:type="dxa"/>
            <w:noWrap/>
            <w:vAlign w:val="center"/>
            <w:hideMark/>
          </w:tcPr>
          <w:p w14:paraId="02E2868D" w14:textId="77777777" w:rsidR="00845E23" w:rsidRPr="00845E23" w:rsidRDefault="00845E23" w:rsidP="00845E2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JAZ13</w:t>
            </w:r>
          </w:p>
        </w:tc>
        <w:tc>
          <w:tcPr>
            <w:tcW w:w="2040" w:type="dxa"/>
            <w:noWrap/>
            <w:vAlign w:val="center"/>
            <w:hideMark/>
          </w:tcPr>
          <w:p w14:paraId="475070DE" w14:textId="77777777" w:rsidR="00845E23" w:rsidRPr="00845E23" w:rsidRDefault="00845E23" w:rsidP="00845E2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845E23">
              <w:rPr>
                <w:rFonts w:ascii="Calibri" w:eastAsia="Times New Roman" w:hAnsi="Calibri" w:cs="Calibri"/>
                <w:kern w:val="0"/>
                <w:lang w:eastAsia="pl-PL"/>
                <w14:ligatures w14:val="none"/>
              </w:rPr>
              <w:t>6,96</w:t>
            </w:r>
          </w:p>
        </w:tc>
        <w:tc>
          <w:tcPr>
            <w:tcW w:w="5725" w:type="dxa"/>
            <w:vAlign w:val="center"/>
            <w:hideMark/>
          </w:tcPr>
          <w:p w14:paraId="7406BD7A" w14:textId="77777777" w:rsidR="00845E23" w:rsidRPr="00845E23" w:rsidRDefault="00845E23" w:rsidP="008C77A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GB" w:eastAsia="pl-PL"/>
                <w14:ligatures w14:val="none"/>
              </w:rPr>
            </w:pPr>
            <w:r w:rsidRPr="00845E23">
              <w:rPr>
                <w:rFonts w:ascii="Calibri" w:eastAsia="Times New Roman" w:hAnsi="Calibri" w:cs="Calibri"/>
                <w:color w:val="000000"/>
                <w:kern w:val="0"/>
                <w:lang w:val="en-GB" w:eastAsia="pl-PL"/>
                <w14:ligatures w14:val="none"/>
              </w:rPr>
              <w:t xml:space="preserve">Encodes a non-TIFY </w:t>
            </w:r>
            <w:proofErr w:type="spellStart"/>
            <w:r w:rsidRPr="00845E23">
              <w:rPr>
                <w:rFonts w:ascii="Calibri" w:eastAsia="Times New Roman" w:hAnsi="Calibri" w:cs="Calibri"/>
                <w:color w:val="000000"/>
                <w:kern w:val="0"/>
                <w:lang w:val="en-GB" w:eastAsia="pl-PL"/>
                <w14:ligatures w14:val="none"/>
              </w:rPr>
              <w:t>JAsmonate</w:t>
            </w:r>
            <w:proofErr w:type="spellEnd"/>
            <w:r w:rsidRPr="00845E23">
              <w:rPr>
                <w:rFonts w:ascii="Calibri" w:eastAsia="Times New Roman" w:hAnsi="Calibri" w:cs="Calibri"/>
                <w:color w:val="000000"/>
                <w:kern w:val="0"/>
                <w:lang w:val="en-GB" w:eastAsia="pl-PL"/>
                <w14:ligatures w14:val="none"/>
              </w:rPr>
              <w:t xml:space="preserve"> ZIM-domain (JAZ) protein with a Ser-rich C-terminal tail that is a site for phosphorylation that interacts with the </w:t>
            </w:r>
            <w:proofErr w:type="spellStart"/>
            <w:r w:rsidRPr="00845E23">
              <w:rPr>
                <w:rFonts w:ascii="Calibri" w:eastAsia="Times New Roman" w:hAnsi="Calibri" w:cs="Calibri"/>
                <w:color w:val="000000"/>
                <w:kern w:val="0"/>
                <w:lang w:val="en-GB" w:eastAsia="pl-PL"/>
                <w14:ligatures w14:val="none"/>
              </w:rPr>
              <w:t>bHLH</w:t>
            </w:r>
            <w:proofErr w:type="spellEnd"/>
            <w:r w:rsidRPr="00845E23">
              <w:rPr>
                <w:rFonts w:ascii="Calibri" w:eastAsia="Times New Roman" w:hAnsi="Calibri" w:cs="Calibri"/>
                <w:color w:val="000000"/>
                <w:kern w:val="0"/>
                <w:lang w:val="en-GB" w:eastAsia="pl-PL"/>
                <w14:ligatures w14:val="none"/>
              </w:rPr>
              <w:t xml:space="preserve"> transcription factor MYC2 and the co-repressor TOPLESS and acts as a repressor of JA </w:t>
            </w:r>
            <w:proofErr w:type="spellStart"/>
            <w:r w:rsidRPr="00845E23">
              <w:rPr>
                <w:rFonts w:ascii="Calibri" w:eastAsia="Times New Roman" w:hAnsi="Calibri" w:cs="Calibri"/>
                <w:color w:val="000000"/>
                <w:kern w:val="0"/>
                <w:lang w:val="en-GB" w:eastAsia="pl-PL"/>
                <w14:ligatures w14:val="none"/>
              </w:rPr>
              <w:t>signaling</w:t>
            </w:r>
            <w:proofErr w:type="spellEnd"/>
            <w:r w:rsidRPr="00845E23">
              <w:rPr>
                <w:rFonts w:ascii="Calibri" w:eastAsia="Times New Roman" w:hAnsi="Calibri" w:cs="Calibri"/>
                <w:color w:val="000000"/>
                <w:kern w:val="0"/>
                <w:lang w:val="en-GB" w:eastAsia="pl-PL"/>
                <w14:ligatures w14:val="none"/>
              </w:rPr>
              <w:t>. JAZ13 is the 13th member of the JAZ family in Arabidopsis, and the only member not classified as a TIFY protein.</w:t>
            </w:r>
          </w:p>
        </w:tc>
      </w:tr>
    </w:tbl>
    <w:p w14:paraId="51E4431D" w14:textId="77777777" w:rsidR="00845E23" w:rsidRDefault="00845E23">
      <w:pPr>
        <w:rPr>
          <w:lang w:val="en-GB"/>
        </w:rPr>
      </w:pPr>
    </w:p>
    <w:sectPr w:rsidR="00845E23" w:rsidSect="00C13A76">
      <w:pgSz w:w="11906" w:h="16838"/>
      <w:pgMar w:top="1417"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08"/>
    <w:rsid w:val="00044B4E"/>
    <w:rsid w:val="004755ED"/>
    <w:rsid w:val="006412C6"/>
    <w:rsid w:val="007B24EE"/>
    <w:rsid w:val="00845E23"/>
    <w:rsid w:val="008C77A2"/>
    <w:rsid w:val="008E157B"/>
    <w:rsid w:val="00946BF9"/>
    <w:rsid w:val="009F2108"/>
    <w:rsid w:val="00A84C08"/>
    <w:rsid w:val="00B95A8A"/>
    <w:rsid w:val="00C13A76"/>
    <w:rsid w:val="00CE19D5"/>
    <w:rsid w:val="00CF2A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244C"/>
  <w15:chartTrackingRefBased/>
  <w15:docId w15:val="{F1E30A7A-07EF-4D30-B9C6-FCCDCA96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F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6">
    <w:name w:val="Grid Table 5 Dark Accent 6"/>
    <w:basedOn w:val="Standardowy"/>
    <w:uiPriority w:val="50"/>
    <w:rsid w:val="00946BF9"/>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4akcent5">
    <w:name w:val="Grid Table 4 Accent 5"/>
    <w:basedOn w:val="Standardowy"/>
    <w:uiPriority w:val="49"/>
    <w:rsid w:val="00845E2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75545">
      <w:bodyDiv w:val="1"/>
      <w:marLeft w:val="0"/>
      <w:marRight w:val="0"/>
      <w:marTop w:val="0"/>
      <w:marBottom w:val="0"/>
      <w:divBdr>
        <w:top w:val="none" w:sz="0" w:space="0" w:color="auto"/>
        <w:left w:val="none" w:sz="0" w:space="0" w:color="auto"/>
        <w:bottom w:val="none" w:sz="0" w:space="0" w:color="auto"/>
        <w:right w:val="none" w:sz="0" w:space="0" w:color="auto"/>
      </w:divBdr>
    </w:div>
    <w:div w:id="1294484440">
      <w:bodyDiv w:val="1"/>
      <w:marLeft w:val="0"/>
      <w:marRight w:val="0"/>
      <w:marTop w:val="0"/>
      <w:marBottom w:val="0"/>
      <w:divBdr>
        <w:top w:val="none" w:sz="0" w:space="0" w:color="auto"/>
        <w:left w:val="none" w:sz="0" w:space="0" w:color="auto"/>
        <w:bottom w:val="none" w:sz="0" w:space="0" w:color="auto"/>
        <w:right w:val="none" w:sz="0" w:space="0" w:color="auto"/>
      </w:divBdr>
    </w:div>
    <w:div w:id="1536233230">
      <w:bodyDiv w:val="1"/>
      <w:marLeft w:val="0"/>
      <w:marRight w:val="0"/>
      <w:marTop w:val="0"/>
      <w:marBottom w:val="0"/>
      <w:divBdr>
        <w:top w:val="none" w:sz="0" w:space="0" w:color="auto"/>
        <w:left w:val="none" w:sz="0" w:space="0" w:color="auto"/>
        <w:bottom w:val="none" w:sz="0" w:space="0" w:color="auto"/>
        <w:right w:val="none" w:sz="0" w:space="0" w:color="auto"/>
      </w:divBdr>
    </w:div>
    <w:div w:id="1870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2D7DF-4850-4203-A3BA-EB270289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1174</Words>
  <Characters>7047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AGM</dc:creator>
  <cp:keywords/>
  <dc:description/>
  <cp:lastModifiedBy>AGM</cp:lastModifiedBy>
  <cp:revision>5</cp:revision>
  <cp:lastPrinted>2023-05-19T07:43:00Z</cp:lastPrinted>
  <dcterms:created xsi:type="dcterms:W3CDTF">2023-05-19T07:41:00Z</dcterms:created>
  <dcterms:modified xsi:type="dcterms:W3CDTF">2023-05-24T07:16:00Z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d3d3ba9e-2ec3-447c-9f5a-57aa0c22342c</vt:lpwstr>
  </property>
  <property fmtid="{D5CDD505-2E9C-101B-9397-08002B2CF9AE}" pid="3" name="MSIP_Label_defa4170-0d19-0005-0004-bc88714345d2_Enabled">
    <vt:lpwstr>true</vt:lpwstr>
  </property>
  <property fmtid="{D5CDD505-2E9C-101B-9397-08002B2CF9AE}" pid="4" name="MSIP_Label_defa4170-0d19-0005-0004-bc88714345d2_SetDate">
    <vt:lpwstr>2023-05-17T08:45:22Z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b9cc3327-0a86-47da-9224-2733d1892b94</vt:lpwstr>
  </property>
  <property fmtid="{D5CDD505-2E9C-101B-9397-08002B2CF9AE}" pid="8" name="MSIP_Label_defa4170-0d19-0005-0004-bc88714345d2_ActionId">
    <vt:lpwstr>2ed0b0ab-7604-4dc2-a835-5eb07d5e1ae7</vt:lpwstr>
  </property>
  <property fmtid="{D5CDD505-2E9C-101B-9397-08002B2CF9AE}" pid="9" name="MSIP_Label_defa4170-0d19-0005-0004-bc88714345d2_ContentBits">
    <vt:lpwstr>0</vt:lpwstr>
  </property>
</Properties>
</file>