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15B" w:rsidRPr="00264311" w:rsidRDefault="00B0215B" w:rsidP="00B0215B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264311">
        <w:rPr>
          <w:rFonts w:ascii="Times New Roman" w:hAnsi="Times New Roman" w:cs="Times New Roman"/>
          <w:b/>
          <w:sz w:val="24"/>
        </w:rPr>
        <w:t>Supplementary Methods</w:t>
      </w:r>
    </w:p>
    <w:p w:rsidR="00B0215B" w:rsidRPr="00264311" w:rsidRDefault="00B0215B" w:rsidP="00B0215B">
      <w:pPr>
        <w:spacing w:line="480" w:lineRule="auto"/>
        <w:rPr>
          <w:rFonts w:ascii="Times New Roman" w:eastAsia="맑은 고딕" w:hAnsi="Times New Roman" w:cs="Times New Roman"/>
          <w:b/>
          <w:sz w:val="24"/>
          <w:szCs w:val="20"/>
          <w:shd w:val="clear" w:color="auto" w:fill="FFFFFF"/>
        </w:rPr>
      </w:pPr>
      <w:r w:rsidRPr="00264311">
        <w:rPr>
          <w:rFonts w:ascii="Times New Roman" w:eastAsia="맑은 고딕" w:hAnsi="Times New Roman" w:cs="Times New Roman"/>
          <w:b/>
          <w:sz w:val="24"/>
          <w:szCs w:val="20"/>
          <w:shd w:val="clear" w:color="auto" w:fill="FFFFFF"/>
        </w:rPr>
        <w:t xml:space="preserve">RNA isolation and </w:t>
      </w:r>
      <w:proofErr w:type="spellStart"/>
      <w:r w:rsidRPr="00264311">
        <w:rPr>
          <w:rFonts w:ascii="Times New Roman" w:eastAsia="맑은 고딕" w:hAnsi="Times New Roman" w:cs="Times New Roman"/>
          <w:b/>
          <w:sz w:val="24"/>
          <w:szCs w:val="20"/>
          <w:shd w:val="clear" w:color="auto" w:fill="FFFFFF"/>
        </w:rPr>
        <w:t>qRT</w:t>
      </w:r>
      <w:proofErr w:type="spellEnd"/>
      <w:r w:rsidRPr="00264311">
        <w:rPr>
          <w:rFonts w:ascii="Times New Roman" w:eastAsia="맑은 고딕" w:hAnsi="Times New Roman" w:cs="Times New Roman"/>
          <w:b/>
          <w:sz w:val="24"/>
          <w:szCs w:val="20"/>
          <w:shd w:val="clear" w:color="auto" w:fill="FFFFFF"/>
        </w:rPr>
        <w:t xml:space="preserve">-PCR from colon tissue </w:t>
      </w:r>
    </w:p>
    <w:p w:rsidR="00B0215B" w:rsidRPr="00264311" w:rsidRDefault="00B0215B" w:rsidP="00B0215B">
      <w:pPr>
        <w:spacing w:line="480" w:lineRule="auto"/>
        <w:rPr>
          <w:rFonts w:ascii="Times New Roman" w:eastAsia="맑은 고딕" w:hAnsi="Times New Roman" w:cs="Times New Roman"/>
          <w:sz w:val="24"/>
          <w:szCs w:val="20"/>
          <w:shd w:val="clear" w:color="auto" w:fill="FFFFFF"/>
        </w:rPr>
      </w:pPr>
      <w:r w:rsidRPr="00264311">
        <w:rPr>
          <w:rFonts w:ascii="Times New Roman" w:eastAsia="맑은 고딕" w:hAnsi="Times New Roman" w:cs="Times New Roman"/>
          <w:sz w:val="24"/>
          <w:szCs w:val="20"/>
          <w:shd w:val="clear" w:color="auto" w:fill="FFFFFF"/>
        </w:rPr>
        <w:t xml:space="preserve">Total RNA was extracted from colon tissues using </w:t>
      </w:r>
      <w:proofErr w:type="spellStart"/>
      <w:r w:rsidRPr="00264311">
        <w:rPr>
          <w:rFonts w:ascii="Times New Roman" w:eastAsia="맑은 고딕" w:hAnsi="Times New Roman" w:cs="Times New Roman"/>
          <w:sz w:val="24"/>
          <w:szCs w:val="20"/>
          <w:shd w:val="clear" w:color="auto" w:fill="FFFFFF"/>
        </w:rPr>
        <w:t>Trizol</w:t>
      </w:r>
      <w:proofErr w:type="spellEnd"/>
      <w:r w:rsidRPr="00264311">
        <w:rPr>
          <w:rFonts w:ascii="Times New Roman" w:eastAsia="맑은 고딕" w:hAnsi="Times New Roman" w:cs="Times New Roman"/>
          <w:sz w:val="24"/>
          <w:szCs w:val="20"/>
          <w:shd w:val="clear" w:color="auto" w:fill="FFFFFF"/>
        </w:rPr>
        <w:t xml:space="preserve"> (Invitrogen) according to the standard protocol of the manufacturer and then purified via lithium chloride precipitation </w:t>
      </w:r>
      <w:r>
        <w:rPr>
          <w:rFonts w:ascii="Times New Roman" w:eastAsia="맑은 고딕" w:hAnsi="Times New Roman" w:cs="Times New Roman"/>
          <w:sz w:val="24"/>
          <w:szCs w:val="20"/>
          <w:shd w:val="clear" w:color="auto" w:fill="FFFFFF"/>
        </w:rPr>
        <w:t>[</w:t>
      </w:r>
      <w:r w:rsidRPr="00264311">
        <w:rPr>
          <w:rFonts w:ascii="Times New Roman" w:eastAsia="맑은 고딕" w:hAnsi="Times New Roman" w:cs="Times New Roman"/>
          <w:sz w:val="24"/>
          <w:szCs w:val="20"/>
          <w:shd w:val="clear" w:color="auto" w:fill="FFFFFF"/>
        </w:rPr>
        <w:t>1</w:t>
      </w:r>
      <w:r>
        <w:rPr>
          <w:rFonts w:ascii="Times New Roman" w:eastAsia="맑은 고딕" w:hAnsi="Times New Roman" w:cs="Times New Roman"/>
          <w:sz w:val="24"/>
          <w:szCs w:val="20"/>
          <w:shd w:val="clear" w:color="auto" w:fill="FFFFFF"/>
        </w:rPr>
        <w:t>]</w:t>
      </w:r>
      <w:r w:rsidRPr="00264311">
        <w:rPr>
          <w:rFonts w:ascii="Times New Roman" w:eastAsia="맑은 고딕" w:hAnsi="Times New Roman" w:cs="Times New Roman"/>
          <w:sz w:val="24"/>
          <w:szCs w:val="20"/>
          <w:shd w:val="clear" w:color="auto" w:fill="FFFFFF"/>
        </w:rPr>
        <w:t xml:space="preserve">. </w:t>
      </w:r>
      <w:proofErr w:type="gramStart"/>
      <w:r w:rsidRPr="00264311">
        <w:rPr>
          <w:rFonts w:ascii="Times New Roman" w:eastAsia="맑은 고딕" w:hAnsi="Times New Roman" w:cs="Times New Roman"/>
          <w:sz w:val="24"/>
          <w:szCs w:val="20"/>
          <w:shd w:val="clear" w:color="auto" w:fill="FFFFFF"/>
        </w:rPr>
        <w:t>cDNA</w:t>
      </w:r>
      <w:proofErr w:type="gramEnd"/>
      <w:r w:rsidRPr="00264311">
        <w:rPr>
          <w:rFonts w:ascii="Times New Roman" w:eastAsia="맑은 고딕" w:hAnsi="Times New Roman" w:cs="Times New Roman"/>
          <w:sz w:val="24"/>
          <w:szCs w:val="20"/>
          <w:shd w:val="clear" w:color="auto" w:fill="FFFFFF"/>
        </w:rPr>
        <w:t xml:space="preserve"> synthesis and </w:t>
      </w:r>
      <w:proofErr w:type="spellStart"/>
      <w:r w:rsidRPr="00264311">
        <w:rPr>
          <w:rFonts w:ascii="Times New Roman" w:eastAsia="맑은 고딕" w:hAnsi="Times New Roman" w:cs="Times New Roman"/>
          <w:sz w:val="24"/>
          <w:szCs w:val="20"/>
          <w:shd w:val="clear" w:color="auto" w:fill="FFFFFF"/>
        </w:rPr>
        <w:t>qRT</w:t>
      </w:r>
      <w:proofErr w:type="spellEnd"/>
      <w:r w:rsidRPr="00264311">
        <w:rPr>
          <w:rFonts w:ascii="Times New Roman" w:eastAsia="맑은 고딕" w:hAnsi="Times New Roman" w:cs="Times New Roman"/>
          <w:sz w:val="24"/>
          <w:szCs w:val="20"/>
          <w:shd w:val="clear" w:color="auto" w:fill="FFFFFF"/>
        </w:rPr>
        <w:t>-PCR were performed as described in the "Material and methods" section. The specific primers for the collagen1A1 (Mm00801666_g1), fibronectin (Mm01256744_m1), α-SMA (ACTA2, Mm00725412_s1), collagen3a1 (Mm00802300_m1), TNF-α (Mm00443258_M1), TGF-β1</w:t>
      </w:r>
      <w:r w:rsidRPr="00264311">
        <w:t xml:space="preserve"> (</w:t>
      </w:r>
      <w:r w:rsidRPr="00264311">
        <w:rPr>
          <w:rFonts w:ascii="Times New Roman" w:eastAsia="맑은 고딕" w:hAnsi="Times New Roman" w:cs="Times New Roman"/>
          <w:sz w:val="24"/>
          <w:szCs w:val="20"/>
          <w:shd w:val="clear" w:color="auto" w:fill="FFFFFF"/>
        </w:rPr>
        <w:t xml:space="preserve">Mm01178820_m1), CTGF (Mm01192933_g1), MMP2 (Mm00439498_m1), MMP9 (Mm00442991_m1), and TIMP (Mm01341361_m1) genes were purchased from Applied </w:t>
      </w:r>
      <w:proofErr w:type="spellStart"/>
      <w:r w:rsidRPr="00264311">
        <w:rPr>
          <w:rFonts w:ascii="Times New Roman" w:eastAsia="맑은 고딕" w:hAnsi="Times New Roman" w:cs="Times New Roman"/>
          <w:sz w:val="24"/>
          <w:szCs w:val="20"/>
          <w:shd w:val="clear" w:color="auto" w:fill="FFFFFF"/>
        </w:rPr>
        <w:t>Biosystems</w:t>
      </w:r>
      <w:proofErr w:type="spellEnd"/>
      <w:r w:rsidRPr="00264311">
        <w:rPr>
          <w:rFonts w:ascii="Times New Roman" w:eastAsia="맑은 고딕" w:hAnsi="Times New Roman" w:cs="Times New Roman"/>
          <w:sz w:val="24"/>
          <w:szCs w:val="20"/>
          <w:shd w:val="clear" w:color="auto" w:fill="FFFFFF"/>
        </w:rPr>
        <w:t xml:space="preserve"> (Foster City, CA).</w:t>
      </w:r>
    </w:p>
    <w:p w:rsidR="00B0215B" w:rsidRPr="00264311" w:rsidRDefault="00B0215B" w:rsidP="00B0215B">
      <w:pPr>
        <w:spacing w:line="480" w:lineRule="auto"/>
        <w:rPr>
          <w:rFonts w:ascii="Times New Roman" w:eastAsia="맑은 고딕" w:hAnsi="Times New Roman" w:cs="Times New Roman"/>
          <w:sz w:val="24"/>
          <w:szCs w:val="20"/>
          <w:shd w:val="clear" w:color="auto" w:fill="FFFFFF"/>
        </w:rPr>
      </w:pPr>
    </w:p>
    <w:p w:rsidR="00B0215B" w:rsidRPr="00264311" w:rsidRDefault="00B0215B" w:rsidP="00B0215B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264311">
        <w:rPr>
          <w:rFonts w:ascii="Times New Roman" w:hAnsi="Times New Roman" w:cs="Times New Roman" w:hint="eastAsia"/>
          <w:b/>
          <w:sz w:val="24"/>
        </w:rPr>
        <w:t>Reference</w:t>
      </w:r>
    </w:p>
    <w:p w:rsidR="00B0215B" w:rsidRPr="00264311" w:rsidRDefault="00B0215B" w:rsidP="00B0215B">
      <w:pPr>
        <w:pStyle w:val="EndNoteBibliography"/>
      </w:pPr>
      <w:r w:rsidRPr="00264311">
        <w:rPr>
          <w:noProof w:val="0"/>
        </w:rPr>
        <w:t>1.</w:t>
      </w:r>
      <w:r w:rsidRPr="00264311">
        <w:rPr>
          <w:noProof w:val="0"/>
        </w:rPr>
        <w:tab/>
      </w:r>
      <w:proofErr w:type="spellStart"/>
      <w:r w:rsidRPr="00264311">
        <w:rPr>
          <w:noProof w:val="0"/>
        </w:rPr>
        <w:t>Viennois</w:t>
      </w:r>
      <w:proofErr w:type="spellEnd"/>
      <w:r w:rsidRPr="00264311">
        <w:rPr>
          <w:noProof w:val="0"/>
        </w:rPr>
        <w:t xml:space="preserve"> E, </w:t>
      </w:r>
      <w:proofErr w:type="spellStart"/>
      <w:r w:rsidRPr="00264311">
        <w:rPr>
          <w:noProof w:val="0"/>
        </w:rPr>
        <w:t>Tahsin</w:t>
      </w:r>
      <w:proofErr w:type="spellEnd"/>
      <w:r w:rsidRPr="00264311">
        <w:rPr>
          <w:noProof w:val="0"/>
        </w:rPr>
        <w:t xml:space="preserve"> A, Merlin D. Purification of total RNA from DSS-treated murine tissue via lithium chloride precipitation. Bio-protocol. 2018</w:t>
      </w:r>
      <w:proofErr w:type="gramStart"/>
      <w:r w:rsidRPr="00264311">
        <w:rPr>
          <w:noProof w:val="0"/>
        </w:rPr>
        <w:t>;8</w:t>
      </w:r>
      <w:proofErr w:type="gramEnd"/>
      <w:r w:rsidRPr="00264311">
        <w:rPr>
          <w:noProof w:val="0"/>
        </w:rPr>
        <w:t>(9):e2829-e.</w:t>
      </w:r>
    </w:p>
    <w:p w:rsidR="00B0215B" w:rsidRDefault="00B0215B" w:rsidP="00B0215B">
      <w:pPr>
        <w:spacing w:line="480" w:lineRule="auto"/>
        <w:rPr>
          <w:rFonts w:ascii="Times New Roman" w:hAnsi="Times New Roman" w:cs="Times New Roman"/>
          <w:b/>
          <w:sz w:val="24"/>
        </w:rPr>
      </w:pPr>
    </w:p>
    <w:p w:rsidR="00B0215B" w:rsidRPr="00264311" w:rsidRDefault="00B0215B" w:rsidP="00B0215B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Supplementary Figure</w:t>
      </w:r>
      <w:r w:rsidRPr="00264311">
        <w:rPr>
          <w:rFonts w:ascii="Times New Roman" w:hAnsi="Times New Roman" w:cs="Times New Roman"/>
          <w:b/>
          <w:sz w:val="24"/>
        </w:rPr>
        <w:t>s</w:t>
      </w:r>
    </w:p>
    <w:p w:rsidR="00B0215B" w:rsidRPr="00264311" w:rsidRDefault="00B0215B" w:rsidP="00B0215B">
      <w:pPr>
        <w:spacing w:line="480" w:lineRule="auto"/>
        <w:rPr>
          <w:rFonts w:ascii="Times New Roman" w:eastAsia="맑은 고딕" w:hAnsi="Times New Roman" w:cs="Times New Roman"/>
          <w:b/>
          <w:sz w:val="24"/>
          <w:szCs w:val="20"/>
          <w:shd w:val="clear" w:color="auto" w:fill="FFFFFF"/>
        </w:rPr>
      </w:pPr>
      <w:r w:rsidRPr="00264311">
        <w:rPr>
          <w:rFonts w:ascii="Times New Roman" w:hAnsi="Times New Roman" w:cs="Times New Roman" w:hint="eastAsia"/>
          <w:b/>
          <w:sz w:val="24"/>
        </w:rPr>
        <w:t xml:space="preserve">Fig. </w:t>
      </w:r>
      <w:r>
        <w:rPr>
          <w:rFonts w:ascii="Times New Roman" w:hAnsi="Times New Roman" w:cs="Times New Roman" w:hint="eastAsia"/>
          <w:b/>
          <w:sz w:val="24"/>
        </w:rPr>
        <w:t>S</w:t>
      </w:r>
      <w:r w:rsidRPr="00264311">
        <w:rPr>
          <w:rFonts w:ascii="Times New Roman" w:hAnsi="Times New Roman" w:cs="Times New Roman" w:hint="eastAsia"/>
          <w:b/>
          <w:sz w:val="24"/>
        </w:rPr>
        <w:t xml:space="preserve">1 </w:t>
      </w:r>
      <w:r w:rsidRPr="00264311">
        <w:rPr>
          <w:rFonts w:ascii="Times New Roman" w:eastAsia="맑은 고딕" w:hAnsi="Times New Roman" w:cs="Times New Roman"/>
          <w:b/>
          <w:sz w:val="24"/>
          <w:szCs w:val="20"/>
          <w:shd w:val="clear" w:color="auto" w:fill="FFFFFF"/>
        </w:rPr>
        <w:t>UC/PL-</w:t>
      </w:r>
      <w:proofErr w:type="spellStart"/>
      <w:r w:rsidRPr="00264311">
        <w:rPr>
          <w:rFonts w:ascii="Times New Roman" w:eastAsia="맑은 고딕" w:hAnsi="Times New Roman" w:cs="Times New Roman"/>
          <w:b/>
          <w:sz w:val="24"/>
          <w:szCs w:val="20"/>
          <w:shd w:val="clear" w:color="auto" w:fill="FFFFFF"/>
        </w:rPr>
        <w:t>scrtm</w:t>
      </w:r>
      <w:proofErr w:type="spellEnd"/>
      <w:r w:rsidRPr="00264311">
        <w:rPr>
          <w:rFonts w:ascii="Times New Roman" w:eastAsia="맑은 고딕" w:hAnsi="Times New Roman" w:cs="Times New Roman"/>
          <w:b/>
          <w:sz w:val="24"/>
          <w:szCs w:val="20"/>
          <w:shd w:val="clear" w:color="auto" w:fill="FFFFFF"/>
        </w:rPr>
        <w:t xml:space="preserve"> inhibits TGF-β1-induced </w:t>
      </w:r>
      <w:proofErr w:type="spellStart"/>
      <w:r w:rsidRPr="00264311">
        <w:rPr>
          <w:rFonts w:ascii="Times New Roman" w:eastAsia="맑은 고딕" w:hAnsi="Times New Roman" w:cs="Times New Roman"/>
          <w:b/>
          <w:sz w:val="24"/>
          <w:szCs w:val="20"/>
          <w:shd w:val="clear" w:color="auto" w:fill="FFFFFF"/>
        </w:rPr>
        <w:t>fibrogenic</w:t>
      </w:r>
      <w:proofErr w:type="spellEnd"/>
      <w:r w:rsidRPr="00264311">
        <w:rPr>
          <w:rFonts w:ascii="Times New Roman" w:eastAsia="맑은 고딕" w:hAnsi="Times New Roman" w:cs="Times New Roman"/>
          <w:b/>
          <w:sz w:val="24"/>
          <w:szCs w:val="20"/>
          <w:shd w:val="clear" w:color="auto" w:fill="FFFFFF"/>
        </w:rPr>
        <w:t xml:space="preserve"> activation of HIMFs </w:t>
      </w:r>
      <w:r w:rsidRPr="00264311">
        <w:rPr>
          <w:rFonts w:ascii="Times New Roman" w:eastAsia="맑은 고딕" w:hAnsi="Times New Roman" w:cs="Times New Roman" w:hint="eastAsia"/>
          <w:b/>
          <w:sz w:val="24"/>
          <w:szCs w:val="20"/>
          <w:shd w:val="clear" w:color="auto" w:fill="FFFFFF"/>
        </w:rPr>
        <w:t xml:space="preserve">in </w:t>
      </w:r>
      <w:r w:rsidRPr="00264311">
        <w:rPr>
          <w:rFonts w:ascii="Times New Roman" w:eastAsia="맑은 고딕" w:hAnsi="Times New Roman" w:cs="Times New Roman"/>
          <w:b/>
          <w:sz w:val="24"/>
          <w:szCs w:val="20"/>
          <w:shd w:val="clear" w:color="auto" w:fill="FFFFFF"/>
        </w:rPr>
        <w:t xml:space="preserve">a dose-dependent manner. </w:t>
      </w:r>
      <w:r w:rsidRPr="00264311">
        <w:rPr>
          <w:rFonts w:ascii="Times New Roman" w:eastAsia="맑은 고딕" w:hAnsi="Times New Roman" w:cs="Times New Roman"/>
          <w:sz w:val="24"/>
          <w:szCs w:val="20"/>
          <w:shd w:val="clear" w:color="auto" w:fill="FFFFFF"/>
        </w:rPr>
        <w:t xml:space="preserve">HIMFs were treated with TGF-β1 (5 ng/mL) and co-cultured with or without UC/PL-scrtm-1, -2, and -3, harvested for 1, 3, and 5 d, respectively. </w:t>
      </w:r>
      <w:r>
        <w:rPr>
          <w:rFonts w:ascii="Times New Roman" w:eastAsia="맑은 고딕" w:hAnsi="Times New Roman" w:cs="Times New Roman"/>
          <w:b/>
          <w:sz w:val="24"/>
          <w:szCs w:val="20"/>
          <w:shd w:val="clear" w:color="auto" w:fill="FFFFFF"/>
        </w:rPr>
        <w:t>A</w:t>
      </w:r>
      <w:r w:rsidRPr="00264311">
        <w:rPr>
          <w:rFonts w:ascii="Times New Roman" w:eastAsia="맑은 고딕" w:hAnsi="Times New Roman" w:cs="Times New Roman"/>
          <w:sz w:val="24"/>
          <w:szCs w:val="20"/>
          <w:shd w:val="clear" w:color="auto" w:fill="FFFFFF"/>
        </w:rPr>
        <w:t xml:space="preserve"> qPCR analysis of the relative mRNA expression of collagen1A1 (</w:t>
      </w:r>
      <w:r w:rsidRPr="00264311">
        <w:rPr>
          <w:rFonts w:ascii="Times New Roman" w:eastAsia="맑은 고딕" w:hAnsi="Times New Roman" w:cs="Times New Roman"/>
          <w:i/>
          <w:sz w:val="24"/>
          <w:szCs w:val="20"/>
          <w:shd w:val="clear" w:color="auto" w:fill="FFFFFF"/>
        </w:rPr>
        <w:t>COL1A1</w:t>
      </w:r>
      <w:r w:rsidRPr="00264311">
        <w:rPr>
          <w:rFonts w:ascii="Times New Roman" w:eastAsia="맑은 고딕" w:hAnsi="Times New Roman" w:cs="Times New Roman"/>
          <w:sz w:val="24"/>
          <w:szCs w:val="20"/>
          <w:shd w:val="clear" w:color="auto" w:fill="FFFFFF"/>
        </w:rPr>
        <w:t>), fibronectin (</w:t>
      </w:r>
      <w:r w:rsidRPr="00264311">
        <w:rPr>
          <w:rFonts w:ascii="Times New Roman" w:eastAsia="맑은 고딕" w:hAnsi="Times New Roman" w:cs="Times New Roman"/>
          <w:i/>
          <w:sz w:val="24"/>
          <w:szCs w:val="20"/>
          <w:shd w:val="clear" w:color="auto" w:fill="FFFFFF"/>
        </w:rPr>
        <w:t>FN1</w:t>
      </w:r>
      <w:r w:rsidRPr="00264311">
        <w:rPr>
          <w:rFonts w:ascii="Times New Roman" w:eastAsia="맑은 고딕" w:hAnsi="Times New Roman" w:cs="Times New Roman"/>
          <w:sz w:val="24"/>
          <w:szCs w:val="20"/>
          <w:shd w:val="clear" w:color="auto" w:fill="FFFFFF"/>
        </w:rPr>
        <w:t>), and α-smooth muscle actin (</w:t>
      </w:r>
      <w:r w:rsidRPr="00264311">
        <w:rPr>
          <w:rFonts w:ascii="Times New Roman" w:eastAsia="맑은 고딕" w:hAnsi="Times New Roman" w:cs="Times New Roman"/>
          <w:i/>
          <w:sz w:val="24"/>
          <w:szCs w:val="20"/>
          <w:shd w:val="clear" w:color="auto" w:fill="FFFFFF"/>
        </w:rPr>
        <w:t>ACTA2</w:t>
      </w:r>
      <w:r w:rsidRPr="00264311">
        <w:rPr>
          <w:rFonts w:ascii="Times New Roman" w:eastAsia="맑은 고딕" w:hAnsi="Times New Roman" w:cs="Times New Roman"/>
          <w:sz w:val="24"/>
          <w:szCs w:val="20"/>
          <w:shd w:val="clear" w:color="auto" w:fill="FFFFFF"/>
        </w:rPr>
        <w:t>). The data were normalized to GAPDH expression and expressed as relative values compared to the control (n = 3).</w:t>
      </w:r>
    </w:p>
    <w:p w:rsidR="00B0215B" w:rsidRPr="00264311" w:rsidRDefault="00B0215B" w:rsidP="00B0215B">
      <w:pPr>
        <w:spacing w:line="480" w:lineRule="auto"/>
        <w:rPr>
          <w:rFonts w:ascii="Times New Roman" w:hAnsi="Times New Roman" w:cs="Times New Roman"/>
          <w:sz w:val="24"/>
        </w:rPr>
      </w:pPr>
    </w:p>
    <w:p w:rsidR="00B0215B" w:rsidRPr="00264311" w:rsidRDefault="00B0215B" w:rsidP="00B0215B">
      <w:pPr>
        <w:spacing w:line="480" w:lineRule="auto"/>
        <w:rPr>
          <w:rFonts w:ascii="Times New Roman" w:eastAsia="맑은 고딕" w:hAnsi="Times New Roman" w:cs="Times New Roman"/>
          <w:sz w:val="24"/>
          <w:szCs w:val="20"/>
          <w:shd w:val="clear" w:color="auto" w:fill="FFFFFF"/>
        </w:rPr>
      </w:pPr>
      <w:r w:rsidRPr="00264311">
        <w:rPr>
          <w:rFonts w:ascii="Times New Roman" w:hAnsi="Times New Roman" w:cs="Times New Roman"/>
          <w:b/>
          <w:sz w:val="24"/>
        </w:rPr>
        <w:t xml:space="preserve">Fig. </w:t>
      </w:r>
      <w:r>
        <w:rPr>
          <w:rFonts w:ascii="Times New Roman" w:hAnsi="Times New Roman" w:cs="Times New Roman"/>
          <w:b/>
          <w:sz w:val="24"/>
        </w:rPr>
        <w:t>S</w:t>
      </w:r>
      <w:r w:rsidRPr="00264311">
        <w:rPr>
          <w:rFonts w:ascii="Times New Roman" w:hAnsi="Times New Roman" w:cs="Times New Roman"/>
          <w:b/>
          <w:sz w:val="24"/>
        </w:rPr>
        <w:t>2 Colonic transcription levels of fibrosis-related genes</w:t>
      </w:r>
      <w:r w:rsidRPr="0026431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A</w:t>
      </w:r>
      <w:r w:rsidRPr="00264311">
        <w:rPr>
          <w:rFonts w:ascii="Times New Roman" w:hAnsi="Times New Roman" w:cs="Times New Roman"/>
          <w:sz w:val="24"/>
        </w:rPr>
        <w:t xml:space="preserve"> </w:t>
      </w:r>
      <w:r w:rsidRPr="00264311">
        <w:rPr>
          <w:rFonts w:ascii="Times New Roman" w:eastAsia="맑은 고딕" w:hAnsi="Times New Roman" w:cs="Times New Roman"/>
          <w:sz w:val="24"/>
          <w:szCs w:val="20"/>
          <w:shd w:val="clear" w:color="auto" w:fill="FFFFFF"/>
        </w:rPr>
        <w:t>qPCR analysis of the relative mRNA expression of collagen1A1 (</w:t>
      </w:r>
      <w:r w:rsidRPr="00264311">
        <w:rPr>
          <w:rFonts w:ascii="Times New Roman" w:eastAsia="맑은 고딕" w:hAnsi="Times New Roman" w:cs="Times New Roman"/>
          <w:i/>
          <w:iCs/>
          <w:sz w:val="24"/>
          <w:szCs w:val="20"/>
          <w:shd w:val="clear" w:color="auto" w:fill="FFFFFF"/>
        </w:rPr>
        <w:t>Col1a1</w:t>
      </w:r>
      <w:r w:rsidRPr="00264311">
        <w:rPr>
          <w:rFonts w:ascii="Times New Roman" w:eastAsia="맑은 고딕" w:hAnsi="Times New Roman" w:cs="Times New Roman"/>
          <w:sz w:val="24"/>
          <w:szCs w:val="20"/>
          <w:shd w:val="clear" w:color="auto" w:fill="FFFFFF"/>
        </w:rPr>
        <w:t>), fibronectin (</w:t>
      </w:r>
      <w:r w:rsidRPr="00264311">
        <w:rPr>
          <w:rFonts w:ascii="Times New Roman" w:eastAsia="맑은 고딕" w:hAnsi="Times New Roman" w:cs="Times New Roman"/>
          <w:i/>
          <w:iCs/>
          <w:sz w:val="24"/>
          <w:szCs w:val="20"/>
          <w:shd w:val="clear" w:color="auto" w:fill="FFFFFF"/>
        </w:rPr>
        <w:t>Fn1</w:t>
      </w:r>
      <w:r w:rsidRPr="00264311">
        <w:rPr>
          <w:rFonts w:ascii="Times New Roman" w:eastAsia="맑은 고딕" w:hAnsi="Times New Roman" w:cs="Times New Roman"/>
          <w:sz w:val="24"/>
          <w:szCs w:val="20"/>
          <w:shd w:val="clear" w:color="auto" w:fill="FFFFFF"/>
        </w:rPr>
        <w:t>), α-smooth muscle actin (</w:t>
      </w:r>
      <w:r w:rsidRPr="00264311">
        <w:rPr>
          <w:rFonts w:ascii="Times New Roman" w:eastAsia="맑은 고딕" w:hAnsi="Times New Roman" w:cs="Times New Roman"/>
          <w:i/>
          <w:iCs/>
          <w:sz w:val="24"/>
          <w:szCs w:val="20"/>
          <w:shd w:val="clear" w:color="auto" w:fill="FFFFFF"/>
        </w:rPr>
        <w:t>Acta2</w:t>
      </w:r>
      <w:r w:rsidRPr="00264311">
        <w:rPr>
          <w:rFonts w:ascii="Times New Roman" w:eastAsia="맑은 고딕" w:hAnsi="Times New Roman" w:cs="Times New Roman"/>
          <w:sz w:val="24"/>
          <w:szCs w:val="20"/>
          <w:shd w:val="clear" w:color="auto" w:fill="FFFFFF"/>
        </w:rPr>
        <w:t>), and collagen3A1 (</w:t>
      </w:r>
      <w:r w:rsidRPr="00264311">
        <w:rPr>
          <w:rFonts w:ascii="Times New Roman" w:eastAsia="맑은 고딕" w:hAnsi="Times New Roman" w:cs="Times New Roman"/>
          <w:i/>
          <w:iCs/>
          <w:sz w:val="24"/>
          <w:szCs w:val="20"/>
          <w:shd w:val="clear" w:color="auto" w:fill="FFFFFF"/>
        </w:rPr>
        <w:t>Col3a1</w:t>
      </w:r>
      <w:r w:rsidRPr="00264311">
        <w:rPr>
          <w:rFonts w:ascii="Times New Roman" w:eastAsia="맑은 고딕" w:hAnsi="Times New Roman" w:cs="Times New Roman"/>
          <w:sz w:val="24"/>
          <w:szCs w:val="20"/>
          <w:shd w:val="clear" w:color="auto" w:fill="FFFFFF"/>
        </w:rPr>
        <w:t xml:space="preserve">). </w:t>
      </w:r>
      <w:r w:rsidRPr="00264311">
        <w:rPr>
          <w:rFonts w:ascii="Times New Roman" w:hAnsi="Times New Roman" w:cs="Times New Roman"/>
          <w:sz w:val="24"/>
        </w:rPr>
        <w:t xml:space="preserve">The data were normalized to GAPDH expression and expressed as relative values compared to the control (n = 3). </w:t>
      </w:r>
      <w:r>
        <w:rPr>
          <w:rFonts w:ascii="Times New Roman" w:eastAsia="맑은 고딕" w:hAnsi="Times New Roman" w:cs="Times New Roman"/>
          <w:b/>
          <w:sz w:val="24"/>
          <w:szCs w:val="20"/>
          <w:shd w:val="clear" w:color="auto" w:fill="FFFFFF"/>
        </w:rPr>
        <w:t>B</w:t>
      </w:r>
      <w:r w:rsidRPr="00264311">
        <w:rPr>
          <w:rFonts w:ascii="Times New Roman" w:hAnsi="Times New Roman" w:cs="Times New Roman"/>
          <w:sz w:val="24"/>
        </w:rPr>
        <w:t xml:space="preserve"> </w:t>
      </w:r>
      <w:r w:rsidRPr="00264311">
        <w:rPr>
          <w:rFonts w:ascii="Times New Roman" w:eastAsia="맑은 고딕" w:hAnsi="Times New Roman" w:cs="Times New Roman"/>
          <w:sz w:val="24"/>
          <w:szCs w:val="20"/>
          <w:shd w:val="clear" w:color="auto" w:fill="FFFFFF"/>
        </w:rPr>
        <w:t>qPCR analysis of the relative mRNA expression of TNF-α, TGF-</w:t>
      </w:r>
      <w:r w:rsidRPr="00264311">
        <w:rPr>
          <w:rFonts w:ascii="Times New Roman" w:hAnsi="Times New Roman" w:cs="Times New Roman"/>
          <w:sz w:val="24"/>
        </w:rPr>
        <w:t>β1, CTGF, MMP2, MMP9, and TIMP (</w:t>
      </w:r>
      <w:proofErr w:type="spellStart"/>
      <w:r w:rsidRPr="00264311">
        <w:rPr>
          <w:rFonts w:ascii="Times New Roman" w:eastAsia="맑은 고딕" w:hAnsi="Times New Roman" w:cs="Times New Roman"/>
          <w:i/>
          <w:iCs/>
          <w:sz w:val="24"/>
          <w:szCs w:val="20"/>
          <w:shd w:val="clear" w:color="auto" w:fill="FFFFFF"/>
        </w:rPr>
        <w:t>Tnfa</w:t>
      </w:r>
      <w:proofErr w:type="spellEnd"/>
      <w:r w:rsidRPr="00264311">
        <w:rPr>
          <w:rFonts w:ascii="Times New Roman" w:eastAsia="맑은 고딕" w:hAnsi="Times New Roman" w:cs="Times New Roman"/>
          <w:i/>
          <w:iCs/>
          <w:sz w:val="24"/>
          <w:szCs w:val="20"/>
          <w:shd w:val="clear" w:color="auto" w:fill="FFFFFF"/>
        </w:rPr>
        <w:t xml:space="preserve">, Tgfb1, Ccn2, Mmp2, Mmp9, </w:t>
      </w:r>
      <w:r w:rsidRPr="00264311">
        <w:rPr>
          <w:rFonts w:ascii="Times New Roman" w:eastAsia="맑은 고딕" w:hAnsi="Times New Roman" w:cs="Times New Roman"/>
          <w:sz w:val="24"/>
          <w:szCs w:val="20"/>
          <w:shd w:val="clear" w:color="auto" w:fill="FFFFFF"/>
        </w:rPr>
        <w:t xml:space="preserve">and </w:t>
      </w:r>
      <w:r w:rsidRPr="00264311">
        <w:rPr>
          <w:rFonts w:ascii="Times New Roman" w:eastAsia="맑은 고딕" w:hAnsi="Times New Roman" w:cs="Times New Roman"/>
          <w:i/>
          <w:iCs/>
          <w:sz w:val="24"/>
          <w:szCs w:val="20"/>
          <w:shd w:val="clear" w:color="auto" w:fill="FFFFFF"/>
        </w:rPr>
        <w:t>Timp1</w:t>
      </w:r>
      <w:r w:rsidRPr="00264311">
        <w:rPr>
          <w:rFonts w:ascii="Times New Roman" w:eastAsia="맑은 고딕" w:hAnsi="Times New Roman" w:cs="Times New Roman"/>
          <w:sz w:val="24"/>
          <w:szCs w:val="20"/>
          <w:shd w:val="clear" w:color="auto" w:fill="FFFFFF"/>
        </w:rPr>
        <w:t>)</w:t>
      </w:r>
      <w:r w:rsidRPr="00264311">
        <w:rPr>
          <w:rFonts w:ascii="Times New Roman" w:hAnsi="Times New Roman" w:cs="Times New Roman"/>
          <w:sz w:val="24"/>
        </w:rPr>
        <w:t xml:space="preserve">. </w:t>
      </w:r>
      <w:r w:rsidRPr="00264311">
        <w:rPr>
          <w:rFonts w:ascii="Times New Roman" w:eastAsia="맑은 고딕" w:hAnsi="Times New Roman" w:cs="Times New Roman"/>
          <w:sz w:val="24"/>
          <w:szCs w:val="20"/>
          <w:shd w:val="clear" w:color="auto" w:fill="FFFFFF"/>
        </w:rPr>
        <w:t xml:space="preserve">The data were normalized to GAPDH expression and expressed as relative values compared to the control </w:t>
      </w:r>
      <w:r w:rsidRPr="00264311">
        <w:rPr>
          <w:rFonts w:ascii="Times New Roman" w:hAnsi="Times New Roman" w:cs="Times New Roman"/>
          <w:sz w:val="24"/>
        </w:rPr>
        <w:t>(n = 3)</w:t>
      </w:r>
      <w:r w:rsidRPr="00264311">
        <w:rPr>
          <w:rFonts w:ascii="Times New Roman" w:eastAsia="맑은 고딕" w:hAnsi="Times New Roman" w:cs="Times New Roman"/>
          <w:sz w:val="24"/>
          <w:szCs w:val="20"/>
          <w:shd w:val="clear" w:color="auto" w:fill="FFFFFF"/>
        </w:rPr>
        <w:t xml:space="preserve">. </w:t>
      </w:r>
      <w:r w:rsidRPr="00264311">
        <w:rPr>
          <w:rFonts w:ascii="Times New Roman" w:hAnsi="Times New Roman" w:cs="Times New Roman"/>
          <w:sz w:val="24"/>
        </w:rPr>
        <w:t xml:space="preserve">Data are expressed as the means ± SEM. </w:t>
      </w:r>
      <w:r w:rsidRPr="00264311">
        <w:rPr>
          <w:rFonts w:ascii="Times New Roman" w:eastAsia="맑은 고딕" w:hAnsi="Times New Roman" w:cs="Times New Roman"/>
          <w:sz w:val="24"/>
          <w:szCs w:val="20"/>
          <w:shd w:val="clear" w:color="auto" w:fill="FFFFFF"/>
        </w:rPr>
        <w:t># P &lt; .05, ## P &lt; .01 and ### P &lt; .001 compared with control (ANOVA w/ Tukey).</w:t>
      </w:r>
    </w:p>
    <w:p w:rsidR="007A5D92" w:rsidRDefault="006C41D1">
      <w:bookmarkStart w:id="0" w:name="_GoBack"/>
      <w:bookmarkEnd w:id="0"/>
    </w:p>
    <w:sectPr w:rsidR="007A5D9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15B"/>
    <w:rsid w:val="0043248D"/>
    <w:rsid w:val="005B3FC1"/>
    <w:rsid w:val="006C41D1"/>
    <w:rsid w:val="00B0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B4972"/>
  <w15:chartTrackingRefBased/>
  <w15:docId w15:val="{8BBDCE32-ED14-4917-B8B2-88222928D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15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Char"/>
    <w:rsid w:val="00B0215B"/>
    <w:pPr>
      <w:spacing w:line="480" w:lineRule="auto"/>
    </w:pPr>
    <w:rPr>
      <w:rFonts w:ascii="Times New Roman" w:eastAsia="맑은 고딕" w:hAnsi="Times New Roman" w:cs="Times New Roman"/>
      <w:noProof/>
      <w:sz w:val="24"/>
    </w:rPr>
  </w:style>
  <w:style w:type="character" w:customStyle="1" w:styleId="EndNoteBibliographyChar">
    <w:name w:val="EndNote Bibliography Char"/>
    <w:basedOn w:val="a0"/>
    <w:link w:val="EndNoteBibliography"/>
    <w:rsid w:val="00B0215B"/>
    <w:rPr>
      <w:rFonts w:ascii="Times New Roman" w:eastAsia="맑은 고딕" w:hAnsi="Times New Roman" w:cs="Times New Roman"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</dc:creator>
  <cp:keywords/>
  <dc:description/>
  <cp:lastModifiedBy>cha</cp:lastModifiedBy>
  <cp:revision>2</cp:revision>
  <dcterms:created xsi:type="dcterms:W3CDTF">2023-06-07T06:17:00Z</dcterms:created>
  <dcterms:modified xsi:type="dcterms:W3CDTF">2023-06-07T06:18:00Z</dcterms:modified>
</cp:coreProperties>
</file>