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B7E3C" w14:textId="77777777" w:rsidR="00E04F18" w:rsidRDefault="00E04F18" w:rsidP="00E04F18">
      <w:pPr>
        <w:spacing w:line="480" w:lineRule="auto"/>
        <w:rPr>
          <w:rFonts w:ascii="Arial" w:hAnsi="Arial" w:cs="Arial"/>
          <w:sz w:val="24"/>
          <w:szCs w:val="24"/>
        </w:rPr>
      </w:pPr>
      <w:r w:rsidRPr="00E04F18">
        <w:rPr>
          <w:rFonts w:ascii="Arial" w:hAnsi="Arial" w:cs="Arial"/>
          <w:sz w:val="24"/>
          <w:szCs w:val="24"/>
        </w:rPr>
        <w:t>Additional file 1: Table S1. Baseline characteristics of 105 DLBCL patients.</w:t>
      </w:r>
    </w:p>
    <w:p w14:paraId="5F771F4A" w14:textId="0CF8576D" w:rsidR="00916D3C" w:rsidRPr="00E04F18" w:rsidRDefault="00916D3C" w:rsidP="00E04F1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3EB4DC" wp14:editId="361859DE">
            <wp:extent cx="5274310" cy="7458075"/>
            <wp:effectExtent l="0" t="0" r="2540" b="9525"/>
            <wp:docPr id="1468971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971098" name="图片 14689710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6917F" w14:textId="77777777" w:rsidR="00E04F18" w:rsidRDefault="00E04F18" w:rsidP="00E04F18">
      <w:pPr>
        <w:spacing w:line="480" w:lineRule="auto"/>
        <w:rPr>
          <w:rFonts w:ascii="Arial" w:hAnsi="Arial" w:cs="Arial"/>
          <w:sz w:val="24"/>
          <w:szCs w:val="24"/>
        </w:rPr>
      </w:pPr>
      <w:r w:rsidRPr="00E04F18">
        <w:rPr>
          <w:rFonts w:ascii="Arial" w:hAnsi="Arial" w:cs="Arial"/>
          <w:sz w:val="24"/>
          <w:szCs w:val="24"/>
        </w:rPr>
        <w:t>Additional file 2: Table S2. Sequences of quantitative real-time PCR (</w:t>
      </w:r>
      <w:proofErr w:type="spellStart"/>
      <w:r w:rsidRPr="00E04F18">
        <w:rPr>
          <w:rFonts w:ascii="Arial" w:hAnsi="Arial" w:cs="Arial"/>
          <w:sz w:val="24"/>
          <w:szCs w:val="24"/>
        </w:rPr>
        <w:t>qRT</w:t>
      </w:r>
      <w:proofErr w:type="spellEnd"/>
      <w:r w:rsidRPr="00E04F18">
        <w:rPr>
          <w:rFonts w:ascii="Arial" w:hAnsi="Arial" w:cs="Arial"/>
          <w:sz w:val="24"/>
          <w:szCs w:val="24"/>
        </w:rPr>
        <w:t>-PCR) primers</w:t>
      </w:r>
    </w:p>
    <w:p w14:paraId="2947A0B3" w14:textId="06C40F17" w:rsidR="00916D3C" w:rsidRPr="00E04F18" w:rsidRDefault="00916D3C" w:rsidP="00E04F1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A83A472" wp14:editId="48C42DC9">
            <wp:extent cx="5274310" cy="7458075"/>
            <wp:effectExtent l="0" t="0" r="2540" b="9525"/>
            <wp:docPr id="11904258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25893" name="图片 11904258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89CD6" w14:textId="77777777" w:rsidR="00E04F18" w:rsidRDefault="00E04F18" w:rsidP="00E04F18">
      <w:pPr>
        <w:spacing w:line="480" w:lineRule="auto"/>
        <w:rPr>
          <w:rFonts w:ascii="Arial" w:hAnsi="Arial" w:cs="Arial"/>
          <w:sz w:val="24"/>
          <w:szCs w:val="24"/>
        </w:rPr>
      </w:pPr>
      <w:r w:rsidRPr="00E04F18">
        <w:rPr>
          <w:rFonts w:ascii="Arial" w:hAnsi="Arial" w:cs="Arial"/>
          <w:sz w:val="24"/>
          <w:szCs w:val="24"/>
        </w:rPr>
        <w:t xml:space="preserve">Additional file 3: Fig. S1A-B. FDX1 overexpression significantly sensitized SUDHL-4 cells to ES-induced cell death. (A) Cell death of control and FDX1-OE SUDHL-4 cells treated with the indicated concentration of ES was detected </w:t>
      </w:r>
      <w:r w:rsidRPr="00E04F18">
        <w:rPr>
          <w:rFonts w:ascii="Arial" w:hAnsi="Arial" w:cs="Arial"/>
          <w:sz w:val="24"/>
          <w:szCs w:val="24"/>
        </w:rPr>
        <w:lastRenderedPageBreak/>
        <w:t>by flow cytometry using 7-AAD staining. Representative flow cytometry plots were shown. (B) Percentage of dead cells (7-AAD positive) was quantified. Data are presented as mean ± SD. P-value was determined by unpaired Student t test (two-tailed, *P &lt;0.05, **P &lt;0.01).</w:t>
      </w:r>
    </w:p>
    <w:p w14:paraId="67191CBA" w14:textId="67A65D73" w:rsidR="00916D3C" w:rsidRPr="00E04F18" w:rsidRDefault="00916D3C" w:rsidP="00E04F1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45BE91A" wp14:editId="05293B23">
            <wp:extent cx="5274310" cy="7458075"/>
            <wp:effectExtent l="0" t="0" r="2540" b="9525"/>
            <wp:docPr id="5329867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86725" name="图片 5329867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5A691" w14:textId="77777777" w:rsidR="00E04F18" w:rsidRDefault="00E04F18" w:rsidP="00E04F18">
      <w:pPr>
        <w:spacing w:line="480" w:lineRule="auto"/>
        <w:rPr>
          <w:rFonts w:ascii="Arial" w:hAnsi="Arial" w:cs="Arial"/>
          <w:sz w:val="24"/>
          <w:szCs w:val="24"/>
        </w:rPr>
      </w:pPr>
      <w:r w:rsidRPr="00E04F18">
        <w:rPr>
          <w:rFonts w:ascii="Arial" w:hAnsi="Arial" w:cs="Arial"/>
          <w:sz w:val="24"/>
          <w:szCs w:val="24"/>
        </w:rPr>
        <w:t xml:space="preserve">Additional file 4: Fig. S2A-D. Intact cell cycle in FDX1-OE cells upon ES treatment. (A-B) Cell cycle of control and FDX1-OE DLBCL cells treated with or without ES (15 </w:t>
      </w:r>
      <w:proofErr w:type="spellStart"/>
      <w:r w:rsidRPr="00E04F18">
        <w:rPr>
          <w:rFonts w:ascii="Arial" w:hAnsi="Arial" w:cs="Arial"/>
          <w:sz w:val="24"/>
          <w:szCs w:val="24"/>
        </w:rPr>
        <w:t>nM</w:t>
      </w:r>
      <w:proofErr w:type="spellEnd"/>
      <w:r w:rsidRPr="00E04F18">
        <w:rPr>
          <w:rFonts w:ascii="Arial" w:hAnsi="Arial" w:cs="Arial"/>
          <w:sz w:val="24"/>
          <w:szCs w:val="24"/>
        </w:rPr>
        <w:t xml:space="preserve"> for WSU-DLCL2 and 5 </w:t>
      </w:r>
      <w:proofErr w:type="spellStart"/>
      <w:r w:rsidRPr="00E04F18">
        <w:rPr>
          <w:rFonts w:ascii="Arial" w:hAnsi="Arial" w:cs="Arial"/>
          <w:sz w:val="24"/>
          <w:szCs w:val="24"/>
        </w:rPr>
        <w:t>nM</w:t>
      </w:r>
      <w:proofErr w:type="spellEnd"/>
      <w:r w:rsidRPr="00E04F18">
        <w:rPr>
          <w:rFonts w:ascii="Arial" w:hAnsi="Arial" w:cs="Arial"/>
          <w:sz w:val="24"/>
          <w:szCs w:val="24"/>
        </w:rPr>
        <w:t xml:space="preserve"> for SUDHL-4) was detected by </w:t>
      </w:r>
      <w:r w:rsidRPr="00E04F18">
        <w:rPr>
          <w:rFonts w:ascii="Arial" w:hAnsi="Arial" w:cs="Arial"/>
          <w:sz w:val="24"/>
          <w:szCs w:val="24"/>
        </w:rPr>
        <w:lastRenderedPageBreak/>
        <w:t xml:space="preserve">flow cytometry using </w:t>
      </w:r>
      <w:proofErr w:type="spellStart"/>
      <w:r w:rsidRPr="00E04F18">
        <w:rPr>
          <w:rFonts w:ascii="Arial" w:hAnsi="Arial" w:cs="Arial"/>
          <w:sz w:val="24"/>
          <w:szCs w:val="24"/>
        </w:rPr>
        <w:t>EdU</w:t>
      </w:r>
      <w:proofErr w:type="spellEnd"/>
      <w:r w:rsidRPr="00E04F18">
        <w:rPr>
          <w:rFonts w:ascii="Arial" w:hAnsi="Arial" w:cs="Arial"/>
          <w:sz w:val="24"/>
          <w:szCs w:val="24"/>
        </w:rPr>
        <w:t>/7AAD staining. Representative flow cytometry plots were shown. (C-D) Percentage of S-phase cells (</w:t>
      </w:r>
      <w:proofErr w:type="spellStart"/>
      <w:r w:rsidRPr="00E04F18">
        <w:rPr>
          <w:rFonts w:ascii="Arial" w:hAnsi="Arial" w:cs="Arial"/>
          <w:sz w:val="24"/>
          <w:szCs w:val="24"/>
        </w:rPr>
        <w:t>EdU</w:t>
      </w:r>
      <w:proofErr w:type="spellEnd"/>
      <w:r w:rsidRPr="00E04F18">
        <w:rPr>
          <w:rFonts w:ascii="Arial" w:hAnsi="Arial" w:cs="Arial"/>
          <w:sz w:val="24"/>
          <w:szCs w:val="24"/>
        </w:rPr>
        <w:t xml:space="preserve"> positive) was quantified. Data are presented as mean ± SD. P-value was determined by unpaired Student t test (two-tailed, *P &lt;0.05, **P &lt;0.01).</w:t>
      </w:r>
    </w:p>
    <w:p w14:paraId="1DCF6256" w14:textId="497D067A" w:rsidR="00916D3C" w:rsidRPr="00E04F18" w:rsidRDefault="00916D3C" w:rsidP="00E04F1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C6E4A50" wp14:editId="6542A063">
            <wp:extent cx="5274310" cy="7458075"/>
            <wp:effectExtent l="0" t="0" r="2540" b="9525"/>
            <wp:docPr id="9723713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71338" name="图片 9723713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3E6F0" w14:textId="77777777" w:rsidR="00E04F18" w:rsidRDefault="00E04F18" w:rsidP="00E04F18">
      <w:pPr>
        <w:spacing w:line="480" w:lineRule="auto"/>
        <w:rPr>
          <w:rFonts w:ascii="Arial" w:hAnsi="Arial" w:cs="Arial"/>
          <w:sz w:val="24"/>
          <w:szCs w:val="24"/>
        </w:rPr>
      </w:pPr>
      <w:r w:rsidRPr="00E04F18">
        <w:rPr>
          <w:rFonts w:ascii="Arial" w:hAnsi="Arial" w:cs="Arial"/>
          <w:sz w:val="24"/>
          <w:szCs w:val="24"/>
        </w:rPr>
        <w:t xml:space="preserve">Additional file 5: Fig. S3A-B. FDX1 knockdown protected SUDHL-4 cells from ES-induced cell death. (A-B) SUDHL-4 cells were transduced with shRNA against FDX1 and treated with or without ES (15 </w:t>
      </w:r>
      <w:proofErr w:type="spellStart"/>
      <w:r w:rsidRPr="00E04F18">
        <w:rPr>
          <w:rFonts w:ascii="Arial" w:hAnsi="Arial" w:cs="Arial"/>
          <w:sz w:val="24"/>
          <w:szCs w:val="24"/>
        </w:rPr>
        <w:t>nM</w:t>
      </w:r>
      <w:proofErr w:type="spellEnd"/>
      <w:r w:rsidRPr="00E04F18">
        <w:rPr>
          <w:rFonts w:ascii="Arial" w:hAnsi="Arial" w:cs="Arial"/>
          <w:sz w:val="24"/>
          <w:szCs w:val="24"/>
        </w:rPr>
        <w:t xml:space="preserve">). Cell death were </w:t>
      </w:r>
      <w:r w:rsidRPr="00E04F18">
        <w:rPr>
          <w:rFonts w:ascii="Arial" w:hAnsi="Arial" w:cs="Arial"/>
          <w:sz w:val="24"/>
          <w:szCs w:val="24"/>
        </w:rPr>
        <w:lastRenderedPageBreak/>
        <w:t>measured by 7-AAD staining and examined through flow cytometry. Representative flow cytometry plots and quantification for the percentage of dead cells (7-AAD positive) were shown. Data are presented as mean ± SD. P-value was determined by unpaired t-test (two-tailed, *P &lt;0.05, **P &lt;0.01).</w:t>
      </w:r>
    </w:p>
    <w:p w14:paraId="71ABF82C" w14:textId="15143377" w:rsidR="00916D3C" w:rsidRPr="00E04F18" w:rsidRDefault="00916D3C" w:rsidP="00E04F1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307139A" wp14:editId="5235BF1E">
            <wp:extent cx="5274310" cy="7458075"/>
            <wp:effectExtent l="0" t="0" r="2540" b="9525"/>
            <wp:docPr id="21288403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40316" name="图片 21288403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F4C24" w14:textId="77777777" w:rsidR="00E04F18" w:rsidRDefault="00E04F18" w:rsidP="00E04F18">
      <w:pPr>
        <w:spacing w:line="480" w:lineRule="auto"/>
        <w:rPr>
          <w:rFonts w:ascii="Arial" w:hAnsi="Arial" w:cs="Arial"/>
          <w:sz w:val="24"/>
          <w:szCs w:val="24"/>
        </w:rPr>
      </w:pPr>
      <w:r w:rsidRPr="00E04F18">
        <w:rPr>
          <w:rFonts w:ascii="Arial" w:hAnsi="Arial" w:cs="Arial"/>
          <w:sz w:val="24"/>
          <w:szCs w:val="24"/>
        </w:rPr>
        <w:t xml:space="preserve">Additional file 6: Fig. S4A. Real-time flow cytometry analysis of SUDHL-4 cells. (A) Real-time flow cytometry analysis of cell death in control and FDX1-OE SUDHL-4 cells treated with ES (5 </w:t>
      </w:r>
      <w:proofErr w:type="spellStart"/>
      <w:r w:rsidRPr="00E04F18">
        <w:rPr>
          <w:rFonts w:ascii="Arial" w:hAnsi="Arial" w:cs="Arial"/>
          <w:sz w:val="24"/>
          <w:szCs w:val="24"/>
        </w:rPr>
        <w:t>nM</w:t>
      </w:r>
      <w:proofErr w:type="spellEnd"/>
      <w:r w:rsidRPr="00E04F18">
        <w:rPr>
          <w:rFonts w:ascii="Arial" w:hAnsi="Arial" w:cs="Arial"/>
          <w:sz w:val="24"/>
          <w:szCs w:val="24"/>
        </w:rPr>
        <w:t xml:space="preserve">). The percentage of dead cells (7-AAD </w:t>
      </w:r>
      <w:r w:rsidRPr="00E04F18">
        <w:rPr>
          <w:rFonts w:ascii="Arial" w:hAnsi="Arial" w:cs="Arial"/>
          <w:sz w:val="24"/>
          <w:szCs w:val="24"/>
        </w:rPr>
        <w:lastRenderedPageBreak/>
        <w:t>positive) was quantified in Fig. 2G.</w:t>
      </w:r>
    </w:p>
    <w:p w14:paraId="24B4A034" w14:textId="419BF23A" w:rsidR="00916D3C" w:rsidRPr="00E04F18" w:rsidRDefault="00916D3C" w:rsidP="00E04F1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A8616E" wp14:editId="152AC3FC">
            <wp:extent cx="5274310" cy="7458075"/>
            <wp:effectExtent l="0" t="0" r="2540" b="9525"/>
            <wp:docPr id="65516709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67098" name="图片 6551670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901CE" w14:textId="77777777" w:rsidR="00E04F18" w:rsidRDefault="00E04F18" w:rsidP="00E04F18">
      <w:pPr>
        <w:spacing w:line="480" w:lineRule="auto"/>
        <w:rPr>
          <w:rFonts w:ascii="Arial" w:hAnsi="Arial" w:cs="Arial"/>
          <w:sz w:val="24"/>
          <w:szCs w:val="24"/>
        </w:rPr>
      </w:pPr>
      <w:r w:rsidRPr="00E04F18">
        <w:rPr>
          <w:rFonts w:ascii="Arial" w:hAnsi="Arial" w:cs="Arial"/>
          <w:sz w:val="24"/>
          <w:szCs w:val="24"/>
        </w:rPr>
        <w:t xml:space="preserve">Additional file 7: Fig. S5A-F. FDX1 promotes activation of IFN-β signaling in SUDHL-4 cells upon ES treatment. Transcriptome strategy of RNA-sequencing </w:t>
      </w:r>
      <w:r w:rsidRPr="00E04F18">
        <w:rPr>
          <w:rFonts w:ascii="Arial" w:hAnsi="Arial" w:cs="Arial"/>
          <w:sz w:val="24"/>
          <w:szCs w:val="24"/>
        </w:rPr>
        <w:lastRenderedPageBreak/>
        <w:t xml:space="preserve">conducted on FDX1-OE and control SUDHL-4 cells exposed to 5 </w:t>
      </w:r>
      <w:proofErr w:type="spellStart"/>
      <w:r w:rsidRPr="00E04F18">
        <w:rPr>
          <w:rFonts w:ascii="Arial" w:hAnsi="Arial" w:cs="Arial"/>
          <w:sz w:val="24"/>
          <w:szCs w:val="24"/>
        </w:rPr>
        <w:t>nM</w:t>
      </w:r>
      <w:proofErr w:type="spellEnd"/>
      <w:r w:rsidRPr="00E04F18">
        <w:rPr>
          <w:rFonts w:ascii="Arial" w:hAnsi="Arial" w:cs="Arial"/>
          <w:sz w:val="24"/>
          <w:szCs w:val="24"/>
        </w:rPr>
        <w:t xml:space="preserve"> ES for 48 h. (A) Volcano plots of differential gene expression (log2 FC) in ES-treated FDX1-OE SUDHL-4 cells versus ES-treated control SUDHL-4 cells. (B) Volcano plots of differential gene expression (log2 FC) in ES-treated FDX1-OE SUDHL-4 cells versus untreated FDX1-OE SUDHL-4 cells. (C) Gene set enrichment analysis (GSEA) was used to analyze the type I interferon signaling pathways (GO:0060337) enrichment in different groups. Normalized enrichment score (NES) indicated the analysis results across gene sets. False discovery rate (FDR) presented if a set was significantly enriched. (D) Heatmap shows the expression profiles of variably expressed IFN-β target genes across different groups. (E) Violin diagram representing the distribution of INF-β target genes in the control and FDX1-OE groups upon ES stimulation. (F) Venn diagram of upregulated DEGs in versus FDX1-OE + ES combination group versus FDX1-OE or </w:t>
      </w:r>
      <w:proofErr w:type="spellStart"/>
      <w:r w:rsidRPr="00E04F18">
        <w:rPr>
          <w:rFonts w:ascii="Arial" w:hAnsi="Arial" w:cs="Arial"/>
          <w:sz w:val="24"/>
          <w:szCs w:val="24"/>
        </w:rPr>
        <w:t>control+ES</w:t>
      </w:r>
      <w:proofErr w:type="spellEnd"/>
      <w:r w:rsidRPr="00E04F18">
        <w:rPr>
          <w:rFonts w:ascii="Arial" w:hAnsi="Arial" w:cs="Arial"/>
          <w:sz w:val="24"/>
          <w:szCs w:val="24"/>
        </w:rPr>
        <w:t xml:space="preserve"> groups. (G) Enriched pathway terms in n = 249 overlapped DEGs noted in the Venn diagram.</w:t>
      </w:r>
    </w:p>
    <w:p w14:paraId="293D9AD8" w14:textId="6E487F86" w:rsidR="00916D3C" w:rsidRPr="00E04F18" w:rsidRDefault="00916D3C" w:rsidP="00E04F1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E5116D6" wp14:editId="052AE4C7">
            <wp:extent cx="5274310" cy="7458075"/>
            <wp:effectExtent l="0" t="0" r="2540" b="9525"/>
            <wp:docPr id="186187259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72593" name="图片 18618725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D083B" w14:textId="05171814" w:rsidR="004E6F4E" w:rsidRDefault="00E04F18" w:rsidP="00E04F18">
      <w:pPr>
        <w:spacing w:line="480" w:lineRule="auto"/>
        <w:rPr>
          <w:rFonts w:ascii="Arial" w:hAnsi="Arial" w:cs="Arial"/>
          <w:sz w:val="24"/>
          <w:szCs w:val="24"/>
        </w:rPr>
      </w:pPr>
      <w:r w:rsidRPr="00E04F18">
        <w:rPr>
          <w:rFonts w:ascii="Arial" w:hAnsi="Arial" w:cs="Arial"/>
          <w:sz w:val="24"/>
          <w:szCs w:val="24"/>
        </w:rPr>
        <w:t xml:space="preserve">Additional file 8: Fig. S6A-D. RIG-1 depletion partially rescued ES-induced cell death. (A-B) WSU-DLCL2 cells were transduced with shRNA against DDX58 (RIG-1) and treated with or without ES (8 </w:t>
      </w:r>
      <w:proofErr w:type="spellStart"/>
      <w:r w:rsidRPr="00E04F18">
        <w:rPr>
          <w:rFonts w:ascii="Arial" w:hAnsi="Arial" w:cs="Arial"/>
          <w:sz w:val="24"/>
          <w:szCs w:val="24"/>
        </w:rPr>
        <w:t>nM</w:t>
      </w:r>
      <w:proofErr w:type="spellEnd"/>
      <w:r w:rsidRPr="00E04F18">
        <w:rPr>
          <w:rFonts w:ascii="Arial" w:hAnsi="Arial" w:cs="Arial"/>
          <w:sz w:val="24"/>
          <w:szCs w:val="24"/>
        </w:rPr>
        <w:t>). Cell death were measured by 7-</w:t>
      </w:r>
      <w:r w:rsidRPr="00E04F18">
        <w:rPr>
          <w:rFonts w:ascii="Arial" w:hAnsi="Arial" w:cs="Arial"/>
          <w:sz w:val="24"/>
          <w:szCs w:val="24"/>
        </w:rPr>
        <w:lastRenderedPageBreak/>
        <w:t xml:space="preserve">AAD staining and flow cytometry assay. Representative flow cytometry plots and quantification for the percentage of dead cells (7-AAD positive) were shown. (C-D) SUDHL-4 cells were transduced with shRNA against DDX58 (RIG-1) and treated with or without ES (2 </w:t>
      </w:r>
      <w:proofErr w:type="spellStart"/>
      <w:r w:rsidRPr="00E04F18">
        <w:rPr>
          <w:rFonts w:ascii="Arial" w:hAnsi="Arial" w:cs="Arial"/>
          <w:sz w:val="24"/>
          <w:szCs w:val="24"/>
        </w:rPr>
        <w:t>nM</w:t>
      </w:r>
      <w:proofErr w:type="spellEnd"/>
      <w:r w:rsidRPr="00E04F18">
        <w:rPr>
          <w:rFonts w:ascii="Arial" w:hAnsi="Arial" w:cs="Arial"/>
          <w:sz w:val="24"/>
          <w:szCs w:val="24"/>
        </w:rPr>
        <w:t>). Representative flow cytometry plots and quantification for the percentage of dead cells (7-AAD positive) were shown. Data are presented as mean ± SD. P-value was determined by unpaired t-test (two-tailed, *P &lt;0.05, **P &lt;0.01).</w:t>
      </w:r>
    </w:p>
    <w:p w14:paraId="20417662" w14:textId="3B03D6B7" w:rsidR="00916D3C" w:rsidRPr="00E04F18" w:rsidRDefault="00916D3C" w:rsidP="00E04F1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D5108E4" wp14:editId="1FC92527">
            <wp:extent cx="5274310" cy="7458075"/>
            <wp:effectExtent l="0" t="0" r="2540" b="9525"/>
            <wp:docPr id="3211765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76554" name="图片 32117655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D3C" w:rsidRPr="00E04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18"/>
    <w:rsid w:val="00137BCD"/>
    <w:rsid w:val="004E6F4E"/>
    <w:rsid w:val="00916D3C"/>
    <w:rsid w:val="00E0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0C75"/>
  <w15:chartTrackingRefBased/>
  <w15:docId w15:val="{124B2308-7061-4D61-8A89-BE547DAB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宇航</dc:creator>
  <cp:keywords/>
  <dc:description/>
  <cp:lastModifiedBy>蒋 宇航</cp:lastModifiedBy>
  <cp:revision>2</cp:revision>
  <dcterms:created xsi:type="dcterms:W3CDTF">2023-06-07T07:47:00Z</dcterms:created>
  <dcterms:modified xsi:type="dcterms:W3CDTF">2023-06-07T08:06:00Z</dcterms:modified>
</cp:coreProperties>
</file>