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b/>
          <w:bCs/>
          <w:highlight w:val="none"/>
          <w:lang w:val="en-US"/>
        </w:rPr>
      </w:pPr>
      <w:bookmarkStart w:id="0" w:name="_GoBack"/>
      <w:r>
        <w:rPr>
          <w:rFonts w:hint="eastAsia" w:ascii="Times New Roman" w:hAnsi="Times New Roman"/>
          <w:b/>
          <w:bCs/>
          <w:sz w:val="21"/>
          <w:szCs w:val="21"/>
          <w:highlight w:val="none"/>
          <w:lang w:val="en-US" w:eastAsia="zh-CN"/>
        </w:rPr>
        <w:t>Supplemental</w:t>
      </w:r>
      <w:bookmarkEnd w:id="0"/>
      <w:r>
        <w:rPr>
          <w:rFonts w:hint="eastAsia" w:ascii="Times New Roman" w:hAnsi="Times New Roman"/>
          <w:b/>
          <w:bCs/>
          <w:sz w:val="21"/>
          <w:szCs w:val="21"/>
          <w:highlight w:val="none"/>
          <w:lang w:val="en-US" w:eastAsia="zh-CN"/>
        </w:rPr>
        <w:t xml:space="preserve"> Figure 1. Patient inclusion and exclusion criteria</w:t>
      </w:r>
    </w:p>
    <w:p>
      <w:pPr>
        <w:spacing w:line="360" w:lineRule="auto"/>
        <w:jc w:val="both"/>
        <w:outlineLvl w:val="0"/>
        <w:rPr>
          <w:rFonts w:hint="eastAsia" w:ascii="Times New Roman" w:hAnsi="Times New Roman"/>
          <w:sz w:val="21"/>
          <w:szCs w:val="21"/>
          <w:highlight w:val="none"/>
          <w:lang w:val="en-US" w:eastAsia="zh-CN"/>
        </w:rPr>
      </w:pPr>
      <w:r>
        <w:drawing>
          <wp:inline distT="0" distB="0" distL="114300" distR="114300">
            <wp:extent cx="5203190" cy="3902710"/>
            <wp:effectExtent l="12700" t="12700" r="22860" b="279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03190" cy="390271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outlineLvl w:val="0"/>
        <w:rPr>
          <w:rFonts w:hint="eastAsia" w:ascii="Times New Roman" w:hAnsi="Times New Roman"/>
          <w:sz w:val="21"/>
          <w:szCs w:val="21"/>
          <w:highlight w:val="none"/>
          <w:lang w:val="en-US" w:eastAsia="zh-CN"/>
        </w:rPr>
      </w:pPr>
    </w:p>
    <w:p>
      <w:pPr>
        <w:spacing w:line="360" w:lineRule="auto"/>
        <w:jc w:val="both"/>
        <w:outlineLvl w:val="0"/>
        <w:rPr>
          <w:rFonts w:hint="default" w:eastAsia="宋体"/>
          <w:b/>
          <w:bCs/>
          <w:highlight w:val="none"/>
          <w:lang w:val="en-US" w:eastAsia="zh-CN"/>
        </w:rPr>
      </w:pPr>
      <w:r>
        <w:rPr>
          <w:rFonts w:hint="eastAsia" w:ascii="Times New Roman" w:hAnsi="Times New Roman"/>
          <w:b/>
          <w:bCs/>
          <w:sz w:val="21"/>
          <w:szCs w:val="21"/>
          <w:highlight w:val="none"/>
          <w:lang w:val="en-US" w:eastAsia="zh-CN"/>
        </w:rPr>
        <w:t xml:space="preserve">Supplemental Table 1. </w:t>
      </w:r>
      <w:r>
        <w:rPr>
          <w:rFonts w:ascii="Times New Roman" w:hAnsi="Times New Roman"/>
          <w:b/>
          <w:bCs/>
          <w:sz w:val="21"/>
          <w:szCs w:val="21"/>
          <w:highlight w:val="none"/>
        </w:rPr>
        <w:t xml:space="preserve">Comparison of </w:t>
      </w:r>
      <w:r>
        <w:rPr>
          <w:rFonts w:hint="eastAsia" w:ascii="Times New Roman" w:hAnsi="Times New Roman"/>
          <w:b/>
          <w:bCs/>
          <w:sz w:val="21"/>
          <w:szCs w:val="21"/>
          <w:highlight w:val="none"/>
          <w:lang w:val="en-US" w:eastAsia="zh-CN"/>
        </w:rPr>
        <w:t>baseline</w:t>
      </w:r>
      <w:r>
        <w:rPr>
          <w:rFonts w:ascii="Times New Roman" w:hAnsi="Times New Roman"/>
          <w:b/>
          <w:bCs/>
          <w:sz w:val="21"/>
          <w:szCs w:val="21"/>
          <w:highlight w:val="none"/>
        </w:rPr>
        <w:t xml:space="preserve"> data between the treatment group</w:t>
      </w:r>
      <w:r>
        <w:rPr>
          <w:rFonts w:hint="eastAsia" w:ascii="Times New Roman" w:hAnsi="Times New Roman"/>
          <w:b/>
          <w:bCs/>
          <w:sz w:val="21"/>
          <w:szCs w:val="21"/>
          <w:highlight w:val="none"/>
        </w:rPr>
        <w:t xml:space="preserve"> </w:t>
      </w:r>
      <w:r>
        <w:rPr>
          <w:rFonts w:ascii="Times New Roman" w:hAnsi="Times New Roman"/>
          <w:b/>
          <w:bCs/>
          <w:sz w:val="21"/>
          <w:szCs w:val="21"/>
          <w:highlight w:val="none"/>
        </w:rPr>
        <w:t>and the control group</w:t>
      </w:r>
    </w:p>
    <w:tbl>
      <w:tblPr>
        <w:tblStyle w:val="3"/>
        <w:tblW w:w="827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32"/>
        <w:gridCol w:w="1825"/>
        <w:gridCol w:w="1563"/>
        <w:gridCol w:w="8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03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</w:p>
        </w:tc>
        <w:tc>
          <w:tcPr>
            <w:tcW w:w="182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Treatment group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(n=25)</w:t>
            </w:r>
          </w:p>
        </w:tc>
        <w:tc>
          <w:tcPr>
            <w:tcW w:w="156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Control group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it-IT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(n=25)</w:t>
            </w:r>
          </w:p>
        </w:tc>
        <w:tc>
          <w:tcPr>
            <w:tcW w:w="85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p value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2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Height, cm</w:t>
            </w:r>
          </w:p>
        </w:tc>
        <w:tc>
          <w:tcPr>
            <w:tcW w:w="182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166.36±7.31</w:t>
            </w:r>
          </w:p>
        </w:tc>
        <w:tc>
          <w:tcPr>
            <w:tcW w:w="1563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166.52±6.61</w:t>
            </w:r>
          </w:p>
        </w:tc>
        <w:tc>
          <w:tcPr>
            <w:tcW w:w="850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0.93</w:t>
            </w: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2" w:type="dxa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Income (≥30,000 Yuan, n [%])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18（72）</w:t>
            </w:r>
          </w:p>
        </w:tc>
        <w:tc>
          <w:tcPr>
            <w:tcW w:w="1563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22（88）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0.157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2" w:type="dxa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Medical costs (10,000 Yuan/year)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0.93±0.83</w:t>
            </w:r>
          </w:p>
        </w:tc>
        <w:tc>
          <w:tcPr>
            <w:tcW w:w="1563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0.70±0.44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0.265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2" w:type="dxa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Working status, n (%)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25（100）</w:t>
            </w:r>
          </w:p>
        </w:tc>
        <w:tc>
          <w:tcPr>
            <w:tcW w:w="1563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24（96）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1.000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2" w:type="dxa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Active vitamin D therapy, n (%)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12（48）</w:t>
            </w:r>
          </w:p>
        </w:tc>
        <w:tc>
          <w:tcPr>
            <w:tcW w:w="1563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10（40）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0.569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2" w:type="dxa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Intravenous iron therapy, n (%)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8（32）</w:t>
            </w:r>
          </w:p>
        </w:tc>
        <w:tc>
          <w:tcPr>
            <w:tcW w:w="1563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8（32）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1.000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2" w:type="dxa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Dialysis modality (HD, %)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19（76）</w:t>
            </w:r>
          </w:p>
        </w:tc>
        <w:tc>
          <w:tcPr>
            <w:tcW w:w="1563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19（76）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1.000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2" w:type="dxa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Vascular access (fistula, %)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25（100）</w:t>
            </w:r>
          </w:p>
        </w:tc>
        <w:tc>
          <w:tcPr>
            <w:tcW w:w="1563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25（100）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1.000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2" w:type="dxa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Average ultrafiltration (L/session)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2.68±0.91</w:t>
            </w:r>
          </w:p>
        </w:tc>
        <w:tc>
          <w:tcPr>
            <w:tcW w:w="1563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2.25±0.46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0.039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2" w:type="dxa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Low molecular heparin (%)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11（44）</w:t>
            </w:r>
          </w:p>
        </w:tc>
        <w:tc>
          <w:tcPr>
            <w:tcW w:w="1563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11（44）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1.000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2" w:type="dxa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Pre-dialysis weight, kg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66.31±10.06</w:t>
            </w:r>
          </w:p>
        </w:tc>
        <w:tc>
          <w:tcPr>
            <w:tcW w:w="1563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61.98±8.70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0.110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2" w:type="dxa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Post-dialysis weight, kg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64.19±9.65</w:t>
            </w:r>
          </w:p>
        </w:tc>
        <w:tc>
          <w:tcPr>
            <w:tcW w:w="1563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59.77±8.84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0.097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2" w:type="dxa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Pre-dialysis systolic pressure, mmHg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143.64±30.88</w:t>
            </w:r>
          </w:p>
        </w:tc>
        <w:tc>
          <w:tcPr>
            <w:tcW w:w="1563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140.48±23.37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0.685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2" w:type="dxa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Post-dialysis systolic pressure, mmHg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139.84±24.80</w:t>
            </w:r>
          </w:p>
        </w:tc>
        <w:tc>
          <w:tcPr>
            <w:tcW w:w="1563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135.16±23.67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0.498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2" w:type="dxa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Pre-dialysis diastolic pressure, mmHg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71.16±10.79</w:t>
            </w:r>
          </w:p>
        </w:tc>
        <w:tc>
          <w:tcPr>
            <w:tcW w:w="1563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69.36±13.20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0.600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2" w:type="dxa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Post-dialysis diastolic pressure, mmHg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74.80±12.49</w:t>
            </w:r>
          </w:p>
        </w:tc>
        <w:tc>
          <w:tcPr>
            <w:tcW w:w="1563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68.88±12.75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0.104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2" w:type="dxa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Pre-dialysis heart rate, BPM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77.44±8.58</w:t>
            </w:r>
          </w:p>
        </w:tc>
        <w:tc>
          <w:tcPr>
            <w:tcW w:w="1563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77.36±10.83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0.977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2" w:type="dxa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Post-dialysis heart rate, BPM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78.80±10.46</w:t>
            </w:r>
          </w:p>
        </w:tc>
        <w:tc>
          <w:tcPr>
            <w:tcW w:w="1563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74.36±12.37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0.177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2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WBC (*10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superscript"/>
              </w:rPr>
              <w:t>9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)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7.14±2.40</w:t>
            </w:r>
          </w:p>
        </w:tc>
        <w:tc>
          <w:tcPr>
            <w:tcW w:w="1563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7.12±1.49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0.983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2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Plt (*10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superscript"/>
              </w:rPr>
              <w:t>9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)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185.00±71.50</w:t>
            </w:r>
          </w:p>
        </w:tc>
        <w:tc>
          <w:tcPr>
            <w:tcW w:w="1563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206.00±62.29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0.296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TB (mmol/L)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5.60±1.77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6.06±2.63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0.489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Cl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superscript"/>
              </w:rPr>
              <w:t>-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 xml:space="preserve"> (mmol/L)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103.71±5.65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102.82±4.52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0.561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LDL (mmol/L)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2.54±0.94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2.28±0.90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0.339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HDL (mmol/L)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0.91±0.25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0.95±0.20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0.535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Ferritin (ng/ml)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108.20（40.68,323.42）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227.50（122.35,649.88）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0.016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TSAT (%)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24.81±10.22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37.74±18.72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0.007</w:t>
            </w:r>
          </w:p>
        </w:tc>
      </w:tr>
    </w:tbl>
    <w:p>
      <w:pPr>
        <w:tabs>
          <w:tab w:val="left" w:pos="480"/>
          <w:tab w:val="left" w:pos="1560"/>
        </w:tabs>
        <w:spacing w:line="360" w:lineRule="auto"/>
        <w:ind w:right="57"/>
        <w:jc w:val="both"/>
        <w:rPr>
          <w:rFonts w:hint="eastAsia" w:ascii="Times New Roman" w:hAnsi="Times New Roman"/>
          <w:sz w:val="21"/>
          <w:szCs w:val="21"/>
          <w:highlight w:val="none"/>
          <w:lang w:val="en-US" w:eastAsia="zh-CN"/>
        </w:rPr>
      </w:pPr>
    </w:p>
    <w:p>
      <w:pPr>
        <w:tabs>
          <w:tab w:val="left" w:pos="480"/>
          <w:tab w:val="left" w:pos="1560"/>
        </w:tabs>
        <w:spacing w:line="360" w:lineRule="auto"/>
        <w:ind w:right="57"/>
        <w:jc w:val="both"/>
        <w:rPr>
          <w:rFonts w:hint="default" w:ascii="Times New Roman" w:hAnsi="Times New Roman" w:cs="Times New Roman"/>
          <w:b/>
          <w:bCs/>
          <w:sz w:val="21"/>
          <w:szCs w:val="21"/>
          <w:highlight w:val="none"/>
        </w:rPr>
      </w:pPr>
      <w:r>
        <w:rPr>
          <w:rFonts w:hint="default" w:ascii="Times New Roman" w:hAnsi="Times New Roman" w:cs="Times New Roman"/>
          <w:b/>
          <w:bCs/>
          <w:sz w:val="21"/>
          <w:szCs w:val="21"/>
          <w:highlight w:val="none"/>
          <w:lang w:val="en-US" w:eastAsia="zh-CN"/>
        </w:rPr>
        <w:t>Supplemental Table 2</w:t>
      </w:r>
      <w:r>
        <w:rPr>
          <w:rFonts w:hint="default" w:ascii="Times New Roman" w:hAnsi="Times New Roman" w:cs="Times New Roman"/>
          <w:b/>
          <w:bCs/>
          <w:sz w:val="21"/>
          <w:szCs w:val="21"/>
          <w:highlight w:val="none"/>
        </w:rPr>
        <w:t>. Comparison of the prop</w:t>
      </w:r>
      <w:r>
        <w:rPr>
          <w:rFonts w:hint="default" w:ascii="Times New Roman" w:hAnsi="Times New Roman" w:cs="Times New Roman"/>
          <w:b/>
          <w:bCs/>
          <w:highlight w:val="none"/>
        </w:rPr>
        <w:t>ortion of patients with</w:t>
      </w:r>
      <w:r>
        <w:rPr>
          <w:rFonts w:hint="default" w:ascii="Times New Roman" w:hAnsi="Times New Roman" w:cs="Times New Roman"/>
          <w:b/>
          <w:bCs/>
          <w:sz w:val="21"/>
          <w:szCs w:val="21"/>
          <w:highlight w:val="none"/>
        </w:rPr>
        <w:t xml:space="preserve"> MoCA scores</w:t>
      </w:r>
      <w:r>
        <w:rPr>
          <w:rFonts w:hint="default" w:ascii="Times New Roman" w:hAnsi="Times New Roman" w:cs="Times New Roman"/>
          <w:b/>
          <w:bCs/>
          <w:sz w:val="21"/>
          <w:szCs w:val="21"/>
          <w:highlight w:val="none"/>
          <w:lang w:eastAsia="zh-CN"/>
        </w:rPr>
        <w:t>≥</w:t>
      </w:r>
      <w:r>
        <w:rPr>
          <w:rFonts w:hint="default" w:ascii="Times New Roman" w:hAnsi="Times New Roman" w:cs="Times New Roman"/>
          <w:b/>
          <w:bCs/>
          <w:sz w:val="21"/>
          <w:szCs w:val="21"/>
          <w:highlight w:val="none"/>
        </w:rPr>
        <w:t>26 points at 48 and 96 weeks of follow-up between the treatment group and the control group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1663"/>
        <w:gridCol w:w="1712"/>
        <w:gridCol w:w="1663"/>
        <w:gridCol w:w="168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542" w:type="dxa"/>
            <w:tcBorders>
              <w:top w:val="single" w:color="auto" w:sz="4" w:space="0"/>
              <w:bottom w:val="nil"/>
            </w:tcBorders>
          </w:tcPr>
          <w:p>
            <w:pPr>
              <w:tabs>
                <w:tab w:val="left" w:pos="4820"/>
              </w:tabs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375" w:type="dxa"/>
            <w:gridSpan w:val="2"/>
            <w:tcBorders>
              <w:top w:val="single" w:color="auto" w:sz="4" w:space="0"/>
              <w:bottom w:val="nil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Treatment group</w:t>
            </w:r>
          </w:p>
        </w:tc>
        <w:tc>
          <w:tcPr>
            <w:tcW w:w="3350" w:type="dxa"/>
            <w:gridSpan w:val="2"/>
            <w:tcBorders>
              <w:top w:val="single" w:color="auto" w:sz="4" w:space="0"/>
              <w:bottom w:val="nil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Control group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42" w:type="dxa"/>
            <w:tcBorders>
              <w:top w:val="nil"/>
            </w:tcBorders>
          </w:tcPr>
          <w:p>
            <w:pPr>
              <w:tabs>
                <w:tab w:val="left" w:pos="4820"/>
              </w:tabs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63" w:type="dxa"/>
            <w:tcBorders>
              <w:top w:val="nil"/>
            </w:tcBorders>
          </w:tcPr>
          <w:p>
            <w:pPr>
              <w:tabs>
                <w:tab w:val="left" w:pos="480"/>
                <w:tab w:val="left" w:pos="1560"/>
              </w:tabs>
              <w:spacing w:line="360" w:lineRule="auto"/>
              <w:ind w:right="57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48weeks (n=22)</w:t>
            </w:r>
          </w:p>
        </w:tc>
        <w:tc>
          <w:tcPr>
            <w:tcW w:w="1712" w:type="dxa"/>
            <w:tcBorders>
              <w:top w:val="nil"/>
            </w:tcBorders>
          </w:tcPr>
          <w:p>
            <w:pPr>
              <w:tabs>
                <w:tab w:val="left" w:pos="480"/>
                <w:tab w:val="left" w:pos="1560"/>
              </w:tabs>
              <w:spacing w:line="360" w:lineRule="auto"/>
              <w:ind w:right="57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96weeks (n=22)</w:t>
            </w:r>
          </w:p>
        </w:tc>
        <w:tc>
          <w:tcPr>
            <w:tcW w:w="1663" w:type="dxa"/>
            <w:tcBorders>
              <w:top w:val="nil"/>
            </w:tcBorders>
          </w:tcPr>
          <w:p>
            <w:pPr>
              <w:tabs>
                <w:tab w:val="left" w:pos="480"/>
                <w:tab w:val="left" w:pos="1560"/>
              </w:tabs>
              <w:spacing w:line="360" w:lineRule="auto"/>
              <w:ind w:right="57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48weeks (n=16)</w:t>
            </w:r>
          </w:p>
        </w:tc>
        <w:tc>
          <w:tcPr>
            <w:tcW w:w="1687" w:type="dxa"/>
            <w:tcBorders>
              <w:top w:val="nil"/>
            </w:tcBorders>
          </w:tcPr>
          <w:p>
            <w:pPr>
              <w:tabs>
                <w:tab w:val="left" w:pos="480"/>
                <w:tab w:val="left" w:pos="1560"/>
              </w:tabs>
              <w:spacing w:line="360" w:lineRule="auto"/>
              <w:ind w:right="57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96weeks (n=16)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42" w:type="dxa"/>
            <w:tcBorders>
              <w:top w:val="single" w:color="auto" w:sz="4" w:space="0"/>
            </w:tcBorders>
          </w:tcPr>
          <w:p>
            <w:pPr>
              <w:tabs>
                <w:tab w:val="left" w:pos="4820"/>
              </w:tabs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MoCA≥26（%）</w:t>
            </w:r>
          </w:p>
        </w:tc>
        <w:tc>
          <w:tcPr>
            <w:tcW w:w="1663" w:type="dxa"/>
            <w:tcBorders>
              <w:top w:val="single" w:color="auto" w:sz="4" w:space="0"/>
            </w:tcBorders>
          </w:tcPr>
          <w:p>
            <w:pPr>
              <w:tabs>
                <w:tab w:val="left" w:pos="4820"/>
              </w:tabs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11（50.0）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1712" w:type="dxa"/>
            <w:tcBorders>
              <w:top w:val="single" w:color="auto" w:sz="4" w:space="0"/>
            </w:tcBorders>
          </w:tcPr>
          <w:p>
            <w:pPr>
              <w:tabs>
                <w:tab w:val="left" w:pos="4820"/>
              </w:tabs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16（72.7）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superscript"/>
              </w:rPr>
              <w:t>#</w:t>
            </w:r>
          </w:p>
        </w:tc>
        <w:tc>
          <w:tcPr>
            <w:tcW w:w="1663" w:type="dxa"/>
            <w:tcBorders>
              <w:top w:val="single" w:color="auto" w:sz="4" w:space="0"/>
            </w:tcBorders>
          </w:tcPr>
          <w:p>
            <w:pPr>
              <w:tabs>
                <w:tab w:val="left" w:pos="4820"/>
              </w:tabs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1（6.2）</w:t>
            </w:r>
          </w:p>
        </w:tc>
        <w:tc>
          <w:tcPr>
            <w:tcW w:w="1687" w:type="dxa"/>
            <w:tcBorders>
              <w:top w:val="single" w:color="auto" w:sz="4" w:space="0"/>
            </w:tcBorders>
          </w:tcPr>
          <w:p>
            <w:pPr>
              <w:tabs>
                <w:tab w:val="left" w:pos="4820"/>
              </w:tabs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1（6.2）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1542" w:type="dxa"/>
          </w:tcPr>
          <w:p>
            <w:pPr>
              <w:tabs>
                <w:tab w:val="left" w:pos="4820"/>
              </w:tabs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MoCA&lt;26（%）</w:t>
            </w:r>
          </w:p>
        </w:tc>
        <w:tc>
          <w:tcPr>
            <w:tcW w:w="1663" w:type="dxa"/>
          </w:tcPr>
          <w:p>
            <w:pPr>
              <w:tabs>
                <w:tab w:val="left" w:pos="4820"/>
              </w:tabs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11（50.0）</w:t>
            </w:r>
          </w:p>
        </w:tc>
        <w:tc>
          <w:tcPr>
            <w:tcW w:w="1712" w:type="dxa"/>
          </w:tcPr>
          <w:p>
            <w:pPr>
              <w:tabs>
                <w:tab w:val="left" w:pos="4820"/>
              </w:tabs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6（27.3）</w:t>
            </w:r>
          </w:p>
        </w:tc>
        <w:tc>
          <w:tcPr>
            <w:tcW w:w="1663" w:type="dxa"/>
          </w:tcPr>
          <w:p>
            <w:pPr>
              <w:tabs>
                <w:tab w:val="left" w:pos="4820"/>
              </w:tabs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15（93.8）</w:t>
            </w:r>
          </w:p>
        </w:tc>
        <w:tc>
          <w:tcPr>
            <w:tcW w:w="1687" w:type="dxa"/>
          </w:tcPr>
          <w:p>
            <w:pPr>
              <w:tabs>
                <w:tab w:val="left" w:pos="4820"/>
              </w:tabs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15（93.8）</w:t>
            </w:r>
          </w:p>
        </w:tc>
      </w:tr>
    </w:tbl>
    <w:p>
      <w:pPr>
        <w:tabs>
          <w:tab w:val="left" w:pos="4820"/>
        </w:tabs>
        <w:spacing w:line="360" w:lineRule="auto"/>
        <w:jc w:val="left"/>
        <w:rPr>
          <w:rFonts w:hint="eastAsia"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  <w:vertAlign w:val="superscript"/>
        </w:rPr>
        <w:t>*</w:t>
      </w:r>
      <w:r>
        <w:rPr>
          <w:rFonts w:hint="eastAsia" w:ascii="Times New Roman" w:hAnsi="Times New Roman"/>
          <w:sz w:val="21"/>
          <w:szCs w:val="21"/>
        </w:rPr>
        <w:t>48 weeks of follow-up in treatment group</w:t>
      </w:r>
      <w:r>
        <w:rPr>
          <w:rFonts w:ascii="Times New Roman" w:hAnsi="Times New Roman"/>
          <w:sz w:val="21"/>
          <w:szCs w:val="21"/>
        </w:rPr>
        <w:t xml:space="preserve"> </w:t>
      </w:r>
      <w:r>
        <w:rPr>
          <w:rFonts w:ascii="Times New Roman" w:hAnsi="Times New Roman"/>
          <w:i/>
          <w:iCs/>
          <w:sz w:val="21"/>
          <w:szCs w:val="21"/>
        </w:rPr>
        <w:t>vs</w:t>
      </w:r>
      <w:r>
        <w:rPr>
          <w:rFonts w:ascii="Times New Roman" w:hAnsi="Times New Roman"/>
          <w:sz w:val="21"/>
          <w:szCs w:val="21"/>
        </w:rPr>
        <w:t xml:space="preserve"> </w:t>
      </w:r>
      <w:r>
        <w:rPr>
          <w:rFonts w:hint="eastAsia" w:ascii="Times New Roman" w:hAnsi="Times New Roman"/>
          <w:sz w:val="21"/>
          <w:szCs w:val="21"/>
        </w:rPr>
        <w:t xml:space="preserve">48 weeks of follow-up in control group, </w:t>
      </w:r>
      <w:r>
        <w:rPr>
          <w:rFonts w:ascii="Times New Roman" w:hAnsi="Times New Roman"/>
          <w:sz w:val="21"/>
          <w:szCs w:val="21"/>
        </w:rPr>
        <w:t>p=0.012</w:t>
      </w:r>
    </w:p>
    <w:p>
      <w:pPr>
        <w:tabs>
          <w:tab w:val="left" w:pos="4820"/>
        </w:tabs>
        <w:spacing w:line="360" w:lineRule="auto"/>
        <w:jc w:val="left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  <w:vertAlign w:val="superscript"/>
        </w:rPr>
        <w:t>#</w:t>
      </w:r>
      <w:r>
        <w:rPr>
          <w:rFonts w:hint="eastAsia" w:ascii="Times New Roman" w:hAnsi="Times New Roman"/>
          <w:sz w:val="21"/>
          <w:szCs w:val="21"/>
        </w:rPr>
        <w:t>96 weeks of follow-up in treatment group</w:t>
      </w:r>
      <w:r>
        <w:rPr>
          <w:rFonts w:ascii="Times New Roman" w:hAnsi="Times New Roman"/>
          <w:sz w:val="21"/>
          <w:szCs w:val="21"/>
        </w:rPr>
        <w:t xml:space="preserve"> </w:t>
      </w:r>
      <w:r>
        <w:rPr>
          <w:rFonts w:ascii="Times New Roman" w:hAnsi="Times New Roman"/>
          <w:i/>
          <w:iCs/>
          <w:sz w:val="21"/>
          <w:szCs w:val="21"/>
        </w:rPr>
        <w:t>vs</w:t>
      </w:r>
      <w:r>
        <w:rPr>
          <w:rFonts w:ascii="Times New Roman" w:hAnsi="Times New Roman"/>
          <w:sz w:val="21"/>
          <w:szCs w:val="21"/>
        </w:rPr>
        <w:t xml:space="preserve"> </w:t>
      </w:r>
      <w:r>
        <w:rPr>
          <w:rFonts w:hint="eastAsia" w:ascii="Times New Roman" w:hAnsi="Times New Roman"/>
          <w:sz w:val="21"/>
          <w:szCs w:val="21"/>
        </w:rPr>
        <w:t xml:space="preserve">96 weeks of follow-up in control group, </w:t>
      </w:r>
      <w:r>
        <w:rPr>
          <w:rFonts w:ascii="Times New Roman" w:hAnsi="Times New Roman"/>
          <w:sz w:val="21"/>
          <w:szCs w:val="21"/>
        </w:rPr>
        <w:t>p&lt;0.</w:t>
      </w:r>
      <w:r>
        <w:rPr>
          <w:rFonts w:hint="eastAsia" w:ascii="Times New Roman" w:hAnsi="Times New Roman"/>
          <w:sz w:val="21"/>
          <w:szCs w:val="21"/>
        </w:rPr>
        <w:t>00</w:t>
      </w:r>
      <w:r>
        <w:rPr>
          <w:rFonts w:ascii="Times New Roman" w:hAnsi="Times New Roman"/>
          <w:sz w:val="21"/>
          <w:szCs w:val="21"/>
        </w:rPr>
        <w:t>1</w:t>
      </w:r>
    </w:p>
    <w:p>
      <w:pPr>
        <w:rPr>
          <w:highlight w:val="none"/>
        </w:rPr>
      </w:pPr>
    </w:p>
    <w:p>
      <w:pPr>
        <w:spacing w:line="360" w:lineRule="auto"/>
        <w:jc w:val="left"/>
        <w:outlineLvl w:val="0"/>
        <w:rPr>
          <w:rFonts w:hint="eastAsia" w:ascii="Times New Roman" w:hAnsi="Times New Roman"/>
          <w:b/>
          <w:bCs/>
          <w:sz w:val="21"/>
          <w:szCs w:val="21"/>
          <w:highlight w:val="none"/>
          <w:lang w:val="en-US" w:eastAsia="zh-CN"/>
        </w:rPr>
      </w:pPr>
      <w:r>
        <w:rPr>
          <w:rFonts w:hint="eastAsia" w:ascii="Times New Roman" w:hAnsi="Times New Roman"/>
          <w:b/>
          <w:bCs/>
          <w:sz w:val="21"/>
          <w:szCs w:val="21"/>
          <w:highlight w:val="none"/>
          <w:lang w:val="en-US" w:eastAsia="zh-CN"/>
        </w:rPr>
        <w:t xml:space="preserve">Supplemental </w:t>
      </w:r>
      <w:r>
        <w:rPr>
          <w:rFonts w:ascii="Times New Roman" w:hAnsi="Times New Roman"/>
          <w:b/>
          <w:bCs/>
          <w:sz w:val="21"/>
          <w:szCs w:val="21"/>
          <w:highlight w:val="none"/>
        </w:rPr>
        <w:t xml:space="preserve">Table </w:t>
      </w:r>
      <w:r>
        <w:rPr>
          <w:rFonts w:hint="eastAsia" w:ascii="Times New Roman" w:hAnsi="Times New Roman"/>
          <w:b/>
          <w:bCs/>
          <w:sz w:val="21"/>
          <w:szCs w:val="21"/>
          <w:highlight w:val="none"/>
          <w:lang w:val="en-US" w:eastAsia="zh-CN"/>
        </w:rPr>
        <w:t>3</w:t>
      </w:r>
      <w:r>
        <w:rPr>
          <w:rFonts w:ascii="Times New Roman" w:hAnsi="Times New Roman"/>
          <w:b/>
          <w:bCs/>
          <w:sz w:val="21"/>
          <w:szCs w:val="21"/>
          <w:highlight w:val="none"/>
        </w:rPr>
        <w:t>.</w:t>
      </w:r>
      <w:r>
        <w:rPr>
          <w:rFonts w:hint="eastAsia" w:ascii="Times New Roman" w:hAnsi="Times New Roman"/>
          <w:b/>
          <w:bCs/>
          <w:sz w:val="21"/>
          <w:szCs w:val="21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/>
          <w:b/>
          <w:bCs/>
          <w:sz w:val="21"/>
          <w:szCs w:val="21"/>
          <w:highlight w:val="none"/>
          <w:lang w:val="en-US" w:eastAsia="zh-CN"/>
        </w:rPr>
        <w:t>Comparison of haemodialysis data between</w:t>
      </w:r>
      <w:r>
        <w:rPr>
          <w:rFonts w:hint="eastAsia" w:ascii="Times New Roman" w:hAnsi="Times New Roman"/>
          <w:b/>
          <w:bCs/>
          <w:sz w:val="21"/>
          <w:szCs w:val="21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/>
          <w:b/>
          <w:bCs/>
          <w:sz w:val="21"/>
          <w:szCs w:val="21"/>
          <w:highlight w:val="none"/>
          <w:lang w:val="en-US" w:eastAsia="zh-CN"/>
        </w:rPr>
        <w:t>the treatment group</w:t>
      </w:r>
      <w:r>
        <w:rPr>
          <w:rFonts w:hint="eastAsia" w:ascii="Times New Roman" w:hAnsi="Times New Roman"/>
          <w:b/>
          <w:bCs/>
          <w:sz w:val="21"/>
          <w:szCs w:val="21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/>
          <w:b/>
          <w:bCs/>
          <w:sz w:val="21"/>
          <w:szCs w:val="21"/>
          <w:highlight w:val="none"/>
          <w:lang w:val="en-US" w:eastAsia="zh-CN"/>
        </w:rPr>
        <w:t>and the control group</w:t>
      </w:r>
      <w:r>
        <w:rPr>
          <w:rFonts w:hint="eastAsia" w:ascii="Times New Roman" w:hAnsi="Times New Roman"/>
          <w:b/>
          <w:bCs/>
          <w:sz w:val="21"/>
          <w:szCs w:val="21"/>
          <w:highlight w:val="none"/>
          <w:lang w:val="en-US" w:eastAsia="zh-CN"/>
        </w:rPr>
        <w:t xml:space="preserve"> at </w:t>
      </w:r>
      <w:r>
        <w:rPr>
          <w:rFonts w:hint="default" w:ascii="Times New Roman" w:hAnsi="Times New Roman"/>
          <w:b/>
          <w:bCs/>
          <w:sz w:val="21"/>
          <w:szCs w:val="21"/>
          <w:highlight w:val="none"/>
          <w:lang w:val="en-US" w:eastAsia="zh-CN"/>
        </w:rPr>
        <w:t>48week</w:t>
      </w:r>
      <w:r>
        <w:rPr>
          <w:rFonts w:hint="eastAsia" w:ascii="Times New Roman" w:hAnsi="Times New Roman"/>
          <w:b/>
          <w:bCs/>
          <w:sz w:val="21"/>
          <w:szCs w:val="21"/>
          <w:highlight w:val="none"/>
          <w:lang w:val="en-US" w:eastAsia="zh-CN"/>
        </w:rPr>
        <w:t>s</w:t>
      </w:r>
      <w:r>
        <w:rPr>
          <w:rFonts w:hint="default" w:ascii="Times New Roman" w:hAnsi="Times New Roman"/>
          <w:b/>
          <w:bCs/>
          <w:sz w:val="21"/>
          <w:szCs w:val="21"/>
          <w:highlight w:val="none"/>
          <w:lang w:val="en-US" w:eastAsia="zh-CN"/>
        </w:rPr>
        <w:t xml:space="preserve"> 96</w:t>
      </w:r>
      <w:r>
        <w:rPr>
          <w:rFonts w:hint="eastAsia" w:ascii="Times New Roman" w:hAnsi="Times New Roman"/>
          <w:b/>
          <w:bCs/>
          <w:sz w:val="21"/>
          <w:szCs w:val="21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/>
          <w:b/>
          <w:bCs/>
          <w:sz w:val="21"/>
          <w:szCs w:val="21"/>
          <w:highlight w:val="none"/>
          <w:lang w:val="en-US" w:eastAsia="zh-CN"/>
        </w:rPr>
        <w:t>week</w:t>
      </w:r>
      <w:r>
        <w:rPr>
          <w:rFonts w:hint="eastAsia" w:ascii="Times New Roman" w:hAnsi="Times New Roman"/>
          <w:b/>
          <w:bCs/>
          <w:sz w:val="21"/>
          <w:szCs w:val="21"/>
          <w:highlight w:val="none"/>
          <w:lang w:val="en-US" w:eastAsia="zh-CN"/>
        </w:rPr>
        <w:t xml:space="preserve">s of </w:t>
      </w:r>
      <w:r>
        <w:rPr>
          <w:rFonts w:hint="default" w:ascii="Times New Roman" w:hAnsi="Times New Roman"/>
          <w:b/>
          <w:bCs/>
          <w:sz w:val="21"/>
          <w:szCs w:val="21"/>
          <w:highlight w:val="none"/>
          <w:lang w:val="en-US" w:eastAsia="zh-CN"/>
        </w:rPr>
        <w:t>follow-up</w:t>
      </w:r>
      <w:r>
        <w:rPr>
          <w:rFonts w:hint="eastAsia" w:ascii="Times New Roman" w:hAnsi="Times New Roman"/>
          <w:b/>
          <w:bCs/>
          <w:sz w:val="21"/>
          <w:szCs w:val="21"/>
          <w:highlight w:val="none"/>
          <w:lang w:val="en-US" w:eastAsia="zh-CN"/>
        </w:rPr>
        <w:t xml:space="preserve"> </w:t>
      </w:r>
    </w:p>
    <w:tbl>
      <w:tblPr>
        <w:tblStyle w:val="3"/>
        <w:tblW w:w="8354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94"/>
        <w:gridCol w:w="1400"/>
        <w:gridCol w:w="1313"/>
        <w:gridCol w:w="1275"/>
        <w:gridCol w:w="117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94" w:type="dxa"/>
            <w:tcBorders>
              <w:top w:val="single" w:color="auto" w:sz="4" w:space="0"/>
              <w:bottom w:val="nil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</w:p>
        </w:tc>
        <w:tc>
          <w:tcPr>
            <w:tcW w:w="2713" w:type="dxa"/>
            <w:gridSpan w:val="2"/>
            <w:tcBorders>
              <w:top w:val="single" w:color="auto" w:sz="4" w:space="0"/>
              <w:bottom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Treatment group</w:t>
            </w:r>
          </w:p>
        </w:tc>
        <w:tc>
          <w:tcPr>
            <w:tcW w:w="2447" w:type="dxa"/>
            <w:gridSpan w:val="2"/>
            <w:tcBorders>
              <w:top w:val="single" w:color="auto" w:sz="4" w:space="0"/>
              <w:bottom w:val="nil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Control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 xml:space="preserve">group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3194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</w:p>
        </w:tc>
        <w:tc>
          <w:tcPr>
            <w:tcW w:w="1400" w:type="dxa"/>
            <w:tcBorders>
              <w:top w:val="nil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48 weeks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（n=2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）</w:t>
            </w:r>
          </w:p>
        </w:tc>
        <w:tc>
          <w:tcPr>
            <w:tcW w:w="1313" w:type="dxa"/>
            <w:tcBorders>
              <w:top w:val="nil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96 weeks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（n=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22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）</w:t>
            </w:r>
          </w:p>
        </w:tc>
        <w:tc>
          <w:tcPr>
            <w:tcW w:w="1275" w:type="dxa"/>
            <w:tcBorders>
              <w:top w:val="nil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48 weeks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（n=2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）</w:t>
            </w:r>
          </w:p>
        </w:tc>
        <w:tc>
          <w:tcPr>
            <w:tcW w:w="1172" w:type="dxa"/>
            <w:tcBorders>
              <w:top w:val="nil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96 weeks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（n=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16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319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Dialysis duration (h/ session)</w:t>
            </w:r>
          </w:p>
        </w:tc>
        <w:tc>
          <w:tcPr>
            <w:tcW w:w="1400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4.04±0.20</w:t>
            </w:r>
          </w:p>
        </w:tc>
        <w:tc>
          <w:tcPr>
            <w:tcW w:w="1313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4.00±0.00</w:t>
            </w:r>
          </w:p>
        </w:tc>
        <w:tc>
          <w:tcPr>
            <w:tcW w:w="127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4.00±0.00</w:t>
            </w:r>
          </w:p>
        </w:tc>
        <w:tc>
          <w:tcPr>
            <w:tcW w:w="1172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4.00±0.00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3194" w:type="dxa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Dialysis frequencies (time/week)</w:t>
            </w:r>
          </w:p>
        </w:tc>
        <w:tc>
          <w:tcPr>
            <w:tcW w:w="14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2.96±0.20</w:t>
            </w:r>
          </w:p>
        </w:tc>
        <w:tc>
          <w:tcPr>
            <w:tcW w:w="131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3.0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±0.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00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2.95±0.22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2.9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±0.2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3194" w:type="dxa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Dialysis modality (HD, %)</w:t>
            </w:r>
          </w:p>
        </w:tc>
        <w:tc>
          <w:tcPr>
            <w:tcW w:w="14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12（50）</w:t>
            </w:r>
          </w:p>
        </w:tc>
        <w:tc>
          <w:tcPr>
            <w:tcW w:w="131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11（50）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11（5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2.4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）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8（50）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3194" w:type="dxa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Vascular access (fistula, %)</w:t>
            </w:r>
          </w:p>
        </w:tc>
        <w:tc>
          <w:tcPr>
            <w:tcW w:w="14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24（100）</w:t>
            </w:r>
          </w:p>
        </w:tc>
        <w:tc>
          <w:tcPr>
            <w:tcW w:w="131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22（100）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（100）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16（100）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3194" w:type="dxa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Average ultrafiltration (L/session)</w:t>
            </w:r>
          </w:p>
        </w:tc>
        <w:tc>
          <w:tcPr>
            <w:tcW w:w="14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2.50±0.77</w:t>
            </w:r>
          </w:p>
        </w:tc>
        <w:tc>
          <w:tcPr>
            <w:tcW w:w="131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2.66±0.66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2.23±0.57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2.41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±0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.88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3194" w:type="dxa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Hypotension during dialysis (%)</w:t>
            </w:r>
          </w:p>
        </w:tc>
        <w:tc>
          <w:tcPr>
            <w:tcW w:w="14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12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（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50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）</w:t>
            </w:r>
          </w:p>
        </w:tc>
        <w:tc>
          <w:tcPr>
            <w:tcW w:w="131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10（45.5）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10（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47.6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）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7（43.8）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3194" w:type="dxa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Low molecular heparin (%)</w:t>
            </w:r>
          </w:p>
        </w:tc>
        <w:tc>
          <w:tcPr>
            <w:tcW w:w="14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9（37.5）</w:t>
            </w:r>
          </w:p>
        </w:tc>
        <w:tc>
          <w:tcPr>
            <w:tcW w:w="131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22（100）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7（3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3.3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）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16（100）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3194" w:type="dxa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Pre-dialysis weight, kg</w:t>
            </w:r>
          </w:p>
        </w:tc>
        <w:tc>
          <w:tcPr>
            <w:tcW w:w="14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64.44±9.96</w:t>
            </w:r>
          </w:p>
        </w:tc>
        <w:tc>
          <w:tcPr>
            <w:tcW w:w="131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62.22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±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10.41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61.04±7.98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61.54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±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9.81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3194" w:type="dxa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Post-dialysis weight, kg</w:t>
            </w:r>
          </w:p>
        </w:tc>
        <w:tc>
          <w:tcPr>
            <w:tcW w:w="14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62.41±9.56</w:t>
            </w:r>
          </w:p>
        </w:tc>
        <w:tc>
          <w:tcPr>
            <w:tcW w:w="131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59.94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±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10.21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58.99±7.74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59.36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±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9.43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3194" w:type="dxa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Pre-dialysis systolic pressure, mmHg</w:t>
            </w:r>
          </w:p>
        </w:tc>
        <w:tc>
          <w:tcPr>
            <w:tcW w:w="14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148.13±25.96</w:t>
            </w:r>
          </w:p>
        </w:tc>
        <w:tc>
          <w:tcPr>
            <w:tcW w:w="131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137.5±26.9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141.2±23.02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146.94±26.74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3194" w:type="dxa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Post-dialysis systolic pressure, mmHg</w:t>
            </w:r>
          </w:p>
        </w:tc>
        <w:tc>
          <w:tcPr>
            <w:tcW w:w="14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135.63±21.59</w:t>
            </w:r>
          </w:p>
        </w:tc>
        <w:tc>
          <w:tcPr>
            <w:tcW w:w="131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132.23±24.18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144.50±33.95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129.19±22.81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3194" w:type="dxa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Pre-dialysis diastolic pressure, mmHg</w:t>
            </w:r>
          </w:p>
        </w:tc>
        <w:tc>
          <w:tcPr>
            <w:tcW w:w="14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69.33±13.42</w:t>
            </w:r>
          </w:p>
        </w:tc>
        <w:tc>
          <w:tcPr>
            <w:tcW w:w="131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67.82±9.56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71.80±12.58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70.75±13.13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3194" w:type="dxa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Post-dialysis diastolic pressure, mmHg</w:t>
            </w:r>
          </w:p>
        </w:tc>
        <w:tc>
          <w:tcPr>
            <w:tcW w:w="14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69.25±12.26</w:t>
            </w:r>
          </w:p>
        </w:tc>
        <w:tc>
          <w:tcPr>
            <w:tcW w:w="131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67.55±10.59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71.90±17.73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64.75±14.93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3194" w:type="dxa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Pre-dialysis heart rate, BPM</w:t>
            </w:r>
          </w:p>
        </w:tc>
        <w:tc>
          <w:tcPr>
            <w:tcW w:w="14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77.96±9.20</w:t>
            </w:r>
          </w:p>
        </w:tc>
        <w:tc>
          <w:tcPr>
            <w:tcW w:w="131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76.05±9.65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74.15±10.57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74.63±12.14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319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Post-dialysis heart rate, BPM</w:t>
            </w:r>
          </w:p>
        </w:tc>
        <w:tc>
          <w:tcPr>
            <w:tcW w:w="140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78.33±12.56</w:t>
            </w:r>
          </w:p>
        </w:tc>
        <w:tc>
          <w:tcPr>
            <w:tcW w:w="131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73.64±11.76</w:t>
            </w:r>
          </w:p>
        </w:tc>
        <w:tc>
          <w:tcPr>
            <w:tcW w:w="127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75.15±11.08</w:t>
            </w:r>
          </w:p>
        </w:tc>
        <w:tc>
          <w:tcPr>
            <w:tcW w:w="117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75.31±9.0</w:t>
            </w:r>
          </w:p>
        </w:tc>
      </w:tr>
    </w:tbl>
    <w:p>
      <w:pPr>
        <w:spacing w:line="360" w:lineRule="auto"/>
        <w:jc w:val="both"/>
        <w:outlineLvl w:val="0"/>
        <w:rPr>
          <w:rFonts w:hint="eastAsia" w:ascii="Times New Roman" w:hAnsi="Times New Roman"/>
          <w:sz w:val="21"/>
          <w:szCs w:val="21"/>
          <w:highlight w:val="none"/>
          <w:lang w:val="en-US" w:eastAsia="zh-CN"/>
        </w:rPr>
      </w:pPr>
    </w:p>
    <w:p>
      <w:pPr>
        <w:spacing w:line="360" w:lineRule="auto"/>
        <w:jc w:val="both"/>
        <w:outlineLvl w:val="0"/>
        <w:rPr>
          <w:rFonts w:hint="default" w:eastAsia="宋体"/>
          <w:b/>
          <w:bCs/>
          <w:highlight w:val="none"/>
          <w:lang w:val="en-US" w:eastAsia="zh-CN"/>
        </w:rPr>
      </w:pPr>
      <w:r>
        <w:rPr>
          <w:rFonts w:hint="eastAsia" w:ascii="Times New Roman" w:hAnsi="Times New Roman"/>
          <w:b/>
          <w:bCs/>
          <w:sz w:val="21"/>
          <w:szCs w:val="21"/>
          <w:highlight w:val="none"/>
          <w:lang w:val="en-US" w:eastAsia="zh-CN"/>
        </w:rPr>
        <w:t xml:space="preserve">Supplemental Table 4. Comparison of laboratory examination </w:t>
      </w:r>
      <w:r>
        <w:rPr>
          <w:rFonts w:hint="default" w:ascii="Times New Roman" w:hAnsi="Times New Roman"/>
          <w:b/>
          <w:bCs/>
          <w:sz w:val="21"/>
          <w:szCs w:val="21"/>
          <w:highlight w:val="none"/>
          <w:lang w:val="en-US" w:eastAsia="zh-CN"/>
        </w:rPr>
        <w:t>between</w:t>
      </w:r>
      <w:r>
        <w:rPr>
          <w:rFonts w:hint="eastAsia" w:ascii="Times New Roman" w:hAnsi="Times New Roman"/>
          <w:b/>
          <w:bCs/>
          <w:sz w:val="21"/>
          <w:szCs w:val="21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/>
          <w:b/>
          <w:bCs/>
          <w:sz w:val="21"/>
          <w:szCs w:val="21"/>
          <w:highlight w:val="none"/>
          <w:lang w:val="en-US" w:eastAsia="zh-CN"/>
        </w:rPr>
        <w:t>the treatment group</w:t>
      </w:r>
      <w:r>
        <w:rPr>
          <w:rFonts w:hint="eastAsia" w:ascii="Times New Roman" w:hAnsi="Times New Roman"/>
          <w:b/>
          <w:bCs/>
          <w:sz w:val="21"/>
          <w:szCs w:val="21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/>
          <w:b/>
          <w:bCs/>
          <w:sz w:val="21"/>
          <w:szCs w:val="21"/>
          <w:highlight w:val="none"/>
          <w:lang w:val="en-US" w:eastAsia="zh-CN"/>
        </w:rPr>
        <w:t>and the control group</w:t>
      </w:r>
      <w:r>
        <w:rPr>
          <w:rFonts w:hint="eastAsia" w:ascii="Times New Roman" w:hAnsi="Times New Roman"/>
          <w:b/>
          <w:bCs/>
          <w:sz w:val="21"/>
          <w:szCs w:val="21"/>
          <w:highlight w:val="none"/>
          <w:lang w:val="en-US" w:eastAsia="zh-CN"/>
        </w:rPr>
        <w:t xml:space="preserve"> at 48weeks 96 weeks of follow-up </w:t>
      </w:r>
    </w:p>
    <w:tbl>
      <w:tblPr>
        <w:tblStyle w:val="3"/>
        <w:tblW w:w="8231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0"/>
        <w:gridCol w:w="1650"/>
        <w:gridCol w:w="1700"/>
        <w:gridCol w:w="1690"/>
        <w:gridCol w:w="173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0" w:type="dxa"/>
            <w:tcBorders>
              <w:top w:val="single" w:color="auto" w:sz="4" w:space="0"/>
              <w:bottom w:val="nil"/>
            </w:tcBorders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</w:p>
        </w:tc>
        <w:tc>
          <w:tcPr>
            <w:tcW w:w="3350" w:type="dxa"/>
            <w:gridSpan w:val="2"/>
            <w:tcBorders>
              <w:top w:val="single" w:color="auto" w:sz="4" w:space="0"/>
              <w:bottom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Treatment group</w:t>
            </w:r>
          </w:p>
        </w:tc>
        <w:tc>
          <w:tcPr>
            <w:tcW w:w="3421" w:type="dxa"/>
            <w:gridSpan w:val="2"/>
            <w:tcBorders>
              <w:top w:val="single" w:color="auto" w:sz="4" w:space="0"/>
              <w:bottom w:val="nil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Control group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0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</w:p>
        </w:tc>
        <w:tc>
          <w:tcPr>
            <w:tcW w:w="1650" w:type="dxa"/>
            <w:tcBorders>
              <w:top w:val="nil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48 weeks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（n=2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）</w:t>
            </w:r>
          </w:p>
        </w:tc>
        <w:tc>
          <w:tcPr>
            <w:tcW w:w="1700" w:type="dxa"/>
            <w:tcBorders>
              <w:top w:val="nil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96 weeks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（n=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22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）</w:t>
            </w:r>
          </w:p>
        </w:tc>
        <w:tc>
          <w:tcPr>
            <w:tcW w:w="1690" w:type="dxa"/>
            <w:tcBorders>
              <w:top w:val="nil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48weeks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（n=2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）</w:t>
            </w:r>
          </w:p>
        </w:tc>
        <w:tc>
          <w:tcPr>
            <w:tcW w:w="1731" w:type="dxa"/>
            <w:tcBorders>
              <w:top w:val="nil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96weeks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（n=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16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0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WBC (*10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superscript"/>
              </w:rPr>
              <w:t>9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)</w:t>
            </w:r>
          </w:p>
        </w:tc>
        <w:tc>
          <w:tcPr>
            <w:tcW w:w="1650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6.33±2.12</w:t>
            </w:r>
          </w:p>
        </w:tc>
        <w:tc>
          <w:tcPr>
            <w:tcW w:w="1700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6.40±1.52</w:t>
            </w:r>
          </w:p>
        </w:tc>
        <w:tc>
          <w:tcPr>
            <w:tcW w:w="1690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6.56±1.37</w:t>
            </w:r>
          </w:p>
        </w:tc>
        <w:tc>
          <w:tcPr>
            <w:tcW w:w="1731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5.67±1.01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0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Hb (g/L)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120.04±23.34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115.05±15.42</w:t>
            </w:r>
          </w:p>
        </w:tc>
        <w:tc>
          <w:tcPr>
            <w:tcW w:w="169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106.38±16.42</w:t>
            </w:r>
          </w:p>
        </w:tc>
        <w:tc>
          <w:tcPr>
            <w:tcW w:w="173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110.38±15.61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0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Plt (*10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superscript"/>
              </w:rPr>
              <w:t>9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)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165.65±65.89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179.82±76.47</w:t>
            </w:r>
          </w:p>
        </w:tc>
        <w:tc>
          <w:tcPr>
            <w:tcW w:w="169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210.75±53.38</w:t>
            </w:r>
          </w:p>
        </w:tc>
        <w:tc>
          <w:tcPr>
            <w:tcW w:w="173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188.88±53.19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0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ALT (U/L)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11.10±5.93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10.23±6.32</w:t>
            </w:r>
          </w:p>
        </w:tc>
        <w:tc>
          <w:tcPr>
            <w:tcW w:w="169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14.25±20.82</w:t>
            </w:r>
          </w:p>
        </w:tc>
        <w:tc>
          <w:tcPr>
            <w:tcW w:w="173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13.94±12.36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0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AST (U/L)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12.68±4.06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11.9±6.8</w:t>
            </w:r>
          </w:p>
        </w:tc>
        <w:tc>
          <w:tcPr>
            <w:tcW w:w="169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14.38±11.66</w:t>
            </w:r>
          </w:p>
        </w:tc>
        <w:tc>
          <w:tcPr>
            <w:tcW w:w="173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13.63±8.65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0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TP (g/L)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69.09±5.23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67.66±5.36</w:t>
            </w:r>
          </w:p>
        </w:tc>
        <w:tc>
          <w:tcPr>
            <w:tcW w:w="169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71.32±4.62</w:t>
            </w:r>
          </w:p>
        </w:tc>
        <w:tc>
          <w:tcPr>
            <w:tcW w:w="173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66.85±7.52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0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TB (mmol/L)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5.74±1.63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5.19±2.37</w:t>
            </w:r>
          </w:p>
        </w:tc>
        <w:tc>
          <w:tcPr>
            <w:tcW w:w="169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7.27±4.50</w:t>
            </w:r>
          </w:p>
        </w:tc>
        <w:tc>
          <w:tcPr>
            <w:tcW w:w="173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6.37±2.92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0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Alb (g/L)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41.16±3.48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38.03±3.67</w:t>
            </w:r>
          </w:p>
        </w:tc>
        <w:tc>
          <w:tcPr>
            <w:tcW w:w="169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40.60±3.78</w:t>
            </w:r>
          </w:p>
        </w:tc>
        <w:tc>
          <w:tcPr>
            <w:tcW w:w="173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36.76±5.42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0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PH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7.43±0.03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7.39±0.05</w:t>
            </w:r>
          </w:p>
        </w:tc>
        <w:tc>
          <w:tcPr>
            <w:tcW w:w="169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7.44±0.03</w:t>
            </w:r>
          </w:p>
        </w:tc>
        <w:tc>
          <w:tcPr>
            <w:tcW w:w="173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7.39±0.05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0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HCO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subscript"/>
              </w:rPr>
              <w:t>3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superscript"/>
              </w:rPr>
              <w:t xml:space="preserve">- 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(mmol/L)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26.13±1.01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24.3±2.99</w:t>
            </w:r>
          </w:p>
        </w:tc>
        <w:tc>
          <w:tcPr>
            <w:tcW w:w="169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25.80±1.41</w:t>
            </w:r>
          </w:p>
        </w:tc>
        <w:tc>
          <w:tcPr>
            <w:tcW w:w="173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24.15±3.04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0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K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superscript"/>
              </w:rPr>
              <w:t>+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 xml:space="preserve"> (mmol/L)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3.13±0.53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3.65±0.99</w:t>
            </w:r>
          </w:p>
        </w:tc>
        <w:tc>
          <w:tcPr>
            <w:tcW w:w="169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3.34±0.61</w:t>
            </w:r>
          </w:p>
        </w:tc>
        <w:tc>
          <w:tcPr>
            <w:tcW w:w="173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3.49±0.68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0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Na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superscript"/>
              </w:rPr>
              <w:t>+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 xml:space="preserve"> (mmol/L)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136.05±3.20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135.77±2.16</w:t>
            </w:r>
          </w:p>
        </w:tc>
        <w:tc>
          <w:tcPr>
            <w:tcW w:w="169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136.06±4.60</w:t>
            </w:r>
          </w:p>
        </w:tc>
        <w:tc>
          <w:tcPr>
            <w:tcW w:w="173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138.0±2.73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0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Cl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superscript"/>
              </w:rPr>
              <w:t>-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 xml:space="preserve"> (mmol/L)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103.00±5.12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100.66±3.24</w:t>
            </w:r>
          </w:p>
        </w:tc>
        <w:tc>
          <w:tcPr>
            <w:tcW w:w="169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100.19±6.52</w:t>
            </w:r>
          </w:p>
        </w:tc>
        <w:tc>
          <w:tcPr>
            <w:tcW w:w="173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102.5±10.04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0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Ca (mmol/L)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2.36±0.25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2.37±0.28</w:t>
            </w:r>
          </w:p>
        </w:tc>
        <w:tc>
          <w:tcPr>
            <w:tcW w:w="169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2.37±0.29</w:t>
            </w:r>
          </w:p>
        </w:tc>
        <w:tc>
          <w:tcPr>
            <w:tcW w:w="173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2.34±0.30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0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P (mmol/L)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1.64±0.46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1.62±0.53</w:t>
            </w:r>
          </w:p>
        </w:tc>
        <w:tc>
          <w:tcPr>
            <w:tcW w:w="169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1.69±0.64</w:t>
            </w:r>
          </w:p>
        </w:tc>
        <w:tc>
          <w:tcPr>
            <w:tcW w:w="173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1.77±0.59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0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TC (mmol/L)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4.33±1.08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4.26±1.46</w:t>
            </w:r>
          </w:p>
        </w:tc>
        <w:tc>
          <w:tcPr>
            <w:tcW w:w="169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4.03±1.21</w:t>
            </w:r>
          </w:p>
        </w:tc>
        <w:tc>
          <w:tcPr>
            <w:tcW w:w="173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4.05±1.20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0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TG (mmol/L)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2.64±1.90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2.43±1.45</w:t>
            </w:r>
          </w:p>
        </w:tc>
        <w:tc>
          <w:tcPr>
            <w:tcW w:w="169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1.97±1.44</w:t>
            </w:r>
          </w:p>
        </w:tc>
        <w:tc>
          <w:tcPr>
            <w:tcW w:w="173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2.04±1.11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0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LDL (mmol/L)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2.58±0.94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2.56±1.21</w:t>
            </w:r>
          </w:p>
        </w:tc>
        <w:tc>
          <w:tcPr>
            <w:tcW w:w="169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2.30±0.88</w:t>
            </w:r>
          </w:p>
        </w:tc>
        <w:tc>
          <w:tcPr>
            <w:tcW w:w="173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2.37±1.01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0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HDL (mmol/L)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1.00±0.24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0.94±0.25</w:t>
            </w:r>
          </w:p>
        </w:tc>
        <w:tc>
          <w:tcPr>
            <w:tcW w:w="169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1.06±0.31</w:t>
            </w:r>
          </w:p>
        </w:tc>
        <w:tc>
          <w:tcPr>
            <w:tcW w:w="173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0.95±0.30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0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iPTH (pg/ml)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331.25±246.60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345.1±250.93</w:t>
            </w:r>
          </w:p>
        </w:tc>
        <w:tc>
          <w:tcPr>
            <w:tcW w:w="169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289.06±234.28</w:t>
            </w:r>
          </w:p>
        </w:tc>
        <w:tc>
          <w:tcPr>
            <w:tcW w:w="173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274.38±235.19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0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F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erritin (ng/ml)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190.4(84.75,635.45)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310.75(103.0,737.15)</w:t>
            </w:r>
          </w:p>
        </w:tc>
        <w:tc>
          <w:tcPr>
            <w:tcW w:w="169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212.3(31.35, 543.73)</w:t>
            </w:r>
          </w:p>
        </w:tc>
        <w:tc>
          <w:tcPr>
            <w:tcW w:w="173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257.6(51.45,483.48)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0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TSAT (%)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33.39±13.90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30.43±12.60</w:t>
            </w:r>
          </w:p>
        </w:tc>
        <w:tc>
          <w:tcPr>
            <w:tcW w:w="169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31.54±15.37</w:t>
            </w:r>
          </w:p>
        </w:tc>
        <w:tc>
          <w:tcPr>
            <w:tcW w:w="173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29.67±14.23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0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Glu (mmol/L)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7.25±2.42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6.07±3.04</w:t>
            </w:r>
          </w:p>
        </w:tc>
        <w:tc>
          <w:tcPr>
            <w:tcW w:w="169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7.08±3.08</w:t>
            </w:r>
          </w:p>
        </w:tc>
        <w:tc>
          <w:tcPr>
            <w:tcW w:w="173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6.14±3.07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0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CRP (mg/dl)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3.12(1.15,10.33)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3.16(1.05,5.72)</w:t>
            </w:r>
          </w:p>
        </w:tc>
        <w:tc>
          <w:tcPr>
            <w:tcW w:w="169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7.12(1.82,17.0)</w:t>
            </w:r>
          </w:p>
        </w:tc>
        <w:tc>
          <w:tcPr>
            <w:tcW w:w="173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3.74(1.64,9.3)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0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β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subscript"/>
              </w:rPr>
              <w:t>2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-MG (mg/L)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7.7(6.25,12.25)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9.75(8.3,29.68)</w:t>
            </w:r>
          </w:p>
        </w:tc>
        <w:tc>
          <w:tcPr>
            <w:tcW w:w="169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9.0(7.85,41.48)</w:t>
            </w:r>
          </w:p>
        </w:tc>
        <w:tc>
          <w:tcPr>
            <w:tcW w:w="173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14.0(9.23,42.68)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0" w:type="dxa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BNP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pg/ml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)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179.0(115.0,529.0)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237.0(120.0,431.0)</w:t>
            </w:r>
          </w:p>
        </w:tc>
        <w:tc>
          <w:tcPr>
            <w:tcW w:w="169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248.5(96.0,507.0)</w:t>
            </w:r>
          </w:p>
        </w:tc>
        <w:tc>
          <w:tcPr>
            <w:tcW w:w="173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383.0(94.25,910.0)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spKt/V</w:t>
            </w:r>
          </w:p>
        </w:tc>
        <w:tc>
          <w:tcPr>
            <w:tcW w:w="165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1.71±0.25</w:t>
            </w:r>
          </w:p>
        </w:tc>
        <w:tc>
          <w:tcPr>
            <w:tcW w:w="170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1.73±0.25</w:t>
            </w:r>
          </w:p>
        </w:tc>
        <w:tc>
          <w:tcPr>
            <w:tcW w:w="169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1.66±0.22</w:t>
            </w:r>
          </w:p>
        </w:tc>
        <w:tc>
          <w:tcPr>
            <w:tcW w:w="173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1.60±0.19</w:t>
            </w:r>
          </w:p>
        </w:tc>
      </w:tr>
    </w:tbl>
    <w:p>
      <w:pPr>
        <w:rPr>
          <w:highlight w:val="none"/>
        </w:rPr>
      </w:pPr>
    </w:p>
    <w:p>
      <w:pPr>
        <w:rPr>
          <w:highlight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9637DA"/>
    <w:rsid w:val="00E00E6E"/>
    <w:rsid w:val="01126866"/>
    <w:rsid w:val="03F05FAD"/>
    <w:rsid w:val="04EF67F3"/>
    <w:rsid w:val="0883493B"/>
    <w:rsid w:val="0F931157"/>
    <w:rsid w:val="1121755C"/>
    <w:rsid w:val="19014508"/>
    <w:rsid w:val="21B330C4"/>
    <w:rsid w:val="232A01E9"/>
    <w:rsid w:val="33301705"/>
    <w:rsid w:val="33EA01FC"/>
    <w:rsid w:val="37ED60C4"/>
    <w:rsid w:val="3B481CB5"/>
    <w:rsid w:val="47637E56"/>
    <w:rsid w:val="4D075877"/>
    <w:rsid w:val="5DE70DD9"/>
    <w:rsid w:val="60E47DC6"/>
    <w:rsid w:val="6768073B"/>
    <w:rsid w:val="68D060A1"/>
    <w:rsid w:val="69775FE0"/>
    <w:rsid w:val="6E436ACB"/>
    <w:rsid w:val="749637DA"/>
    <w:rsid w:val="780C6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mbria" w:hAnsi="Cambria" w:eastAsia="宋体" w:cs="Times New Roman"/>
      <w:kern w:val="2"/>
      <w:sz w:val="24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annotation reference"/>
    <w:basedOn w:val="5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2020-02-18T13:02:00Z</dcterms:created>
  <dc:creator>DrLu</dc:creator>
  <cp:lastModifiedBy>DrLu</cp:lastModifiedBy>
  <dcterms:modified xsi:type="dcterms:W3CDTF">2020-03-06T06:39:03Z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