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8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en-US"/>
        </w:rPr>
        <w:t>Metacognition in wild Japanese macaques: cost and stakes influencing information-seeking behavior.</w:t>
      </w:r>
    </w:p>
    <w:p>
      <w:pPr>
        <w:pStyle w:val="Normal"/>
        <w:spacing w:lineRule="auto" w:line="480"/>
        <w:jc w:val="both"/>
        <w:rPr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  <w:lang w:val="fr-FR"/>
        </w:rPr>
        <w:t>Animal Cognition</w:t>
      </w:r>
    </w:p>
    <w:p>
      <w:pPr>
        <w:pStyle w:val="Normal"/>
        <w:spacing w:lineRule="auto" w:line="48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Lorraine Subias</w:t>
      </w:r>
      <w:r>
        <w:rPr>
          <w:rFonts w:cs="Times New Roman" w:ascii="Times New Roman" w:hAnsi="Times New Roman"/>
          <w:sz w:val="24"/>
          <w:szCs w:val="24"/>
          <w:vertAlign w:val="superscript"/>
          <w:lang w:val="en-US"/>
        </w:rPr>
        <w:t>1</w:t>
      </w:r>
      <w:r>
        <w:rPr>
          <w:rFonts w:cs="Times New Roman" w:ascii="Times New Roman" w:hAnsi="Times New Roman"/>
          <w:sz w:val="24"/>
          <w:szCs w:val="24"/>
          <w:lang w:val="en-US"/>
        </w:rPr>
        <w:t>, Noriko Katsu</w:t>
      </w:r>
      <w:r>
        <w:rPr>
          <w:rFonts w:cs="Times New Roman" w:ascii="Times New Roman" w:hAnsi="Times New Roman"/>
          <w:sz w:val="24"/>
          <w:szCs w:val="24"/>
          <w:vertAlign w:val="superscript"/>
          <w:lang w:val="en-US"/>
        </w:rPr>
        <w:t>1</w:t>
      </w:r>
      <w:r>
        <w:rPr>
          <w:rFonts w:cs="Times New Roman" w:ascii="Times New Roman" w:hAnsi="Times New Roman"/>
          <w:sz w:val="24"/>
          <w:szCs w:val="24"/>
          <w:lang w:val="en-US"/>
        </w:rPr>
        <w:t>, Kazunori Yamada</w:t>
      </w:r>
      <w:r>
        <w:rPr>
          <w:rFonts w:cs="Times New Roman" w:ascii="Times New Roman" w:hAnsi="Times New Roman"/>
          <w:sz w:val="24"/>
          <w:szCs w:val="24"/>
          <w:vertAlign w:val="superscript"/>
          <w:lang w:val="en-US"/>
        </w:rPr>
        <w:t>1</w:t>
      </w:r>
    </w:p>
    <w:p>
      <w:pPr>
        <w:pStyle w:val="Normal"/>
        <w:spacing w:lineRule="auto" w:line="48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vertAlign w:val="superscript"/>
          <w:lang w:val="en-US"/>
        </w:rPr>
        <w:t>1</w:t>
      </w:r>
      <w:r>
        <w:rPr>
          <w:rFonts w:cs="Times New Roman" w:ascii="Times New Roman" w:hAnsi="Times New Roman"/>
          <w:sz w:val="24"/>
          <w:szCs w:val="24"/>
          <w:lang w:val="en-US"/>
        </w:rPr>
        <w:t>Graduate School of Human Sciences, Osaka University</w:t>
      </w:r>
    </w:p>
    <w:p>
      <w:pPr>
        <w:pStyle w:val="Normal"/>
        <w:spacing w:lineRule="auto" w:line="480"/>
        <w:ind w:firstLine="120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1-2 Yamadaoka, Suita, Osaka, Japan</w:t>
      </w:r>
    </w:p>
    <w:p>
      <w:pPr>
        <w:pStyle w:val="Normal"/>
        <w:spacing w:lineRule="auto" w:line="480"/>
        <w:ind w:firstLine="120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+ 81 80 9530 4081</w:t>
      </w:r>
    </w:p>
    <w:p>
      <w:pPr>
        <w:pStyle w:val="Normal"/>
        <w:spacing w:lineRule="auto" w:line="480"/>
        <w:ind w:left="1200" w:hanging="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subias.lorraine@hotmail.fr</w:t>
      </w:r>
    </w:p>
    <w:p>
      <w:pPr>
        <w:pStyle w:val="Standard"/>
        <w:rPr>
          <w:lang w:val="en-GB"/>
        </w:rPr>
      </w:pPr>
      <w:r>
        <w:rPr>
          <w:sz w:val="24"/>
          <w:szCs w:val="24"/>
        </w:rPr>
      </w:r>
    </w:p>
    <w:p>
      <w:pPr>
        <w:pStyle w:val="Standard"/>
        <w:rPr>
          <w:lang w:val="en-GB"/>
        </w:rPr>
      </w:pPr>
      <w:r>
        <w:rPr/>
      </w:r>
      <w:r>
        <w:br w:type="page"/>
      </w:r>
    </w:p>
    <w:p>
      <w:pPr>
        <w:pStyle w:val="Standard"/>
        <w:rPr/>
      </w:pPr>
      <w:r>
        <w:rPr>
          <w:lang w:val="en-GB"/>
        </w:rPr>
        <w:t>SUPPLEMENTARY MATERIAL</w:t>
      </w:r>
    </w:p>
    <w:p>
      <w:pPr>
        <w:pStyle w:val="Standard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Standard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Table 5</w:t>
      </w:r>
    </w:p>
    <w:tbl>
      <w:tblPr>
        <w:tblW w:w="4709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1135"/>
        <w:gridCol w:w="1300"/>
        <w:gridCol w:w="1191"/>
        <w:gridCol w:w="1082"/>
      </w:tblGrid>
      <w:tr>
        <w:trPr/>
        <w:tc>
          <w:tcPr>
            <w:tcW w:w="4708" w:type="dxa"/>
            <w:gridSpan w:val="4"/>
            <w:tcBorders>
              <w:bottom w:val="single" w:sz="4" w:space="0" w:color="000000"/>
            </w:tcBorders>
            <w:shd w:color="auto" w:fill="CCCCCC" w:val="clear"/>
          </w:tcPr>
          <w:p>
            <w:pPr>
              <w:pStyle w:val="TableContents"/>
              <w:widowControl w:val="false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  <w:lang w:val="en-GB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lang w:val="en-GB"/>
              </w:rPr>
              <w:t>Binomial tests results</w:t>
            </w:r>
          </w:p>
        </w:tc>
      </w:tr>
      <w:tr>
        <w:trPr/>
        <w:tc>
          <w:tcPr>
            <w:tcW w:w="1135" w:type="dxa"/>
            <w:tcBorders/>
          </w:tcPr>
          <w:p>
            <w:pPr>
              <w:pStyle w:val="Standard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  <w:lang w:val="en-GB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lang w:val="en-GB"/>
              </w:rPr>
              <w:t>Nb of success</w:t>
            </w:r>
          </w:p>
        </w:tc>
        <w:tc>
          <w:tcPr>
            <w:tcW w:w="11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  <w:lang w:val="en-GB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lang w:val="en-GB"/>
              </w:rPr>
              <w:t>Nb of trials</w:t>
            </w: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  <w:lang w:val="en-GB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lang w:val="en-GB"/>
              </w:rPr>
              <w:t>p-value</w:t>
            </w:r>
          </w:p>
        </w:tc>
      </w:tr>
      <w:tr>
        <w:trPr/>
        <w:tc>
          <w:tcPr>
            <w:tcW w:w="1135" w:type="dxa"/>
            <w:tcBorders/>
          </w:tcPr>
          <w:p>
            <w:pPr>
              <w:pStyle w:val="TableContents"/>
              <w:widowControl w:val="false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Gaara</w:t>
            </w:r>
          </w:p>
        </w:tc>
        <w:tc>
          <w:tcPr>
            <w:tcW w:w="1300" w:type="dxa"/>
            <w:tcBorders/>
          </w:tcPr>
          <w:p>
            <w:pPr>
              <w:pStyle w:val="TableContents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91" w:type="dxa"/>
            <w:tcBorders/>
          </w:tcPr>
          <w:p>
            <w:pPr>
              <w:pStyle w:val="TableContents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082" w:type="dxa"/>
            <w:tcBorders/>
          </w:tcPr>
          <w:p>
            <w:pPr>
              <w:pStyle w:val="TableContents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0.84</w:t>
            </w:r>
          </w:p>
        </w:tc>
      </w:tr>
      <w:tr>
        <w:trPr/>
        <w:tc>
          <w:tcPr>
            <w:tcW w:w="1135" w:type="dxa"/>
            <w:tcBorders/>
          </w:tcPr>
          <w:p>
            <w:pPr>
              <w:pStyle w:val="TableContents"/>
              <w:widowControl w:val="false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Gattsu</w:t>
            </w:r>
          </w:p>
        </w:tc>
        <w:tc>
          <w:tcPr>
            <w:tcW w:w="1300" w:type="dxa"/>
            <w:tcBorders/>
          </w:tcPr>
          <w:p>
            <w:pPr>
              <w:pStyle w:val="TableContents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191" w:type="dxa"/>
            <w:tcBorders/>
          </w:tcPr>
          <w:p>
            <w:pPr>
              <w:pStyle w:val="TableContents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1082" w:type="dxa"/>
            <w:tcBorders/>
          </w:tcPr>
          <w:p>
            <w:pPr>
              <w:pStyle w:val="TableContents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0.047</w:t>
            </w:r>
          </w:p>
        </w:tc>
      </w:tr>
      <w:tr>
        <w:trPr/>
        <w:tc>
          <w:tcPr>
            <w:tcW w:w="1135" w:type="dxa"/>
            <w:tcBorders/>
          </w:tcPr>
          <w:p>
            <w:pPr>
              <w:pStyle w:val="TableContents"/>
              <w:widowControl w:val="false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Izuna</w:t>
            </w:r>
          </w:p>
        </w:tc>
        <w:tc>
          <w:tcPr>
            <w:tcW w:w="1300" w:type="dxa"/>
            <w:tcBorders/>
          </w:tcPr>
          <w:p>
            <w:pPr>
              <w:pStyle w:val="TableContents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91" w:type="dxa"/>
            <w:tcBorders/>
          </w:tcPr>
          <w:p>
            <w:pPr>
              <w:pStyle w:val="TableContents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082" w:type="dxa"/>
            <w:tcBorders/>
          </w:tcPr>
          <w:p>
            <w:pPr>
              <w:pStyle w:val="TableContents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0.82</w:t>
            </w:r>
          </w:p>
        </w:tc>
      </w:tr>
      <w:tr>
        <w:trPr/>
        <w:tc>
          <w:tcPr>
            <w:tcW w:w="1135" w:type="dxa"/>
            <w:tcBorders/>
          </w:tcPr>
          <w:p>
            <w:pPr>
              <w:pStyle w:val="TableContents"/>
              <w:widowControl w:val="false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Kikuhime</w:t>
            </w:r>
          </w:p>
        </w:tc>
        <w:tc>
          <w:tcPr>
            <w:tcW w:w="1300" w:type="dxa"/>
            <w:tcBorders/>
          </w:tcPr>
          <w:p>
            <w:pPr>
              <w:pStyle w:val="TableContents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91" w:type="dxa"/>
            <w:tcBorders/>
          </w:tcPr>
          <w:p>
            <w:pPr>
              <w:pStyle w:val="TableContents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082" w:type="dxa"/>
            <w:tcBorders/>
          </w:tcPr>
          <w:p>
            <w:pPr>
              <w:pStyle w:val="TableContents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0.58</w:t>
            </w:r>
          </w:p>
        </w:tc>
      </w:tr>
      <w:tr>
        <w:trPr/>
        <w:tc>
          <w:tcPr>
            <w:tcW w:w="1135" w:type="dxa"/>
            <w:tcBorders/>
          </w:tcPr>
          <w:p>
            <w:pPr>
              <w:pStyle w:val="TableContents"/>
              <w:widowControl w:val="false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Manta</w:t>
            </w:r>
          </w:p>
        </w:tc>
        <w:tc>
          <w:tcPr>
            <w:tcW w:w="1300" w:type="dxa"/>
            <w:tcBorders/>
          </w:tcPr>
          <w:p>
            <w:pPr>
              <w:pStyle w:val="TableContents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91" w:type="dxa"/>
            <w:tcBorders/>
          </w:tcPr>
          <w:p>
            <w:pPr>
              <w:pStyle w:val="TableContents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082" w:type="dxa"/>
            <w:tcBorders/>
          </w:tcPr>
          <w:p>
            <w:pPr>
              <w:pStyle w:val="TableContents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0.62</w:t>
            </w:r>
          </w:p>
        </w:tc>
      </w:tr>
      <w:tr>
        <w:trPr/>
        <w:tc>
          <w:tcPr>
            <w:tcW w:w="1135" w:type="dxa"/>
            <w:tcBorders/>
          </w:tcPr>
          <w:p>
            <w:pPr>
              <w:pStyle w:val="TableContents"/>
              <w:widowControl w:val="false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Paku</w:t>
            </w:r>
          </w:p>
        </w:tc>
        <w:tc>
          <w:tcPr>
            <w:tcW w:w="1300" w:type="dxa"/>
            <w:tcBorders/>
          </w:tcPr>
          <w:p>
            <w:pPr>
              <w:pStyle w:val="TableContents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91" w:type="dxa"/>
            <w:tcBorders/>
          </w:tcPr>
          <w:p>
            <w:pPr>
              <w:pStyle w:val="TableContents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082" w:type="dxa"/>
            <w:tcBorders/>
          </w:tcPr>
          <w:p>
            <w:pPr>
              <w:pStyle w:val="TableContents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0.090</w:t>
            </w:r>
          </w:p>
        </w:tc>
      </w:tr>
      <w:tr>
        <w:trPr/>
        <w:tc>
          <w:tcPr>
            <w:tcW w:w="1135" w:type="dxa"/>
            <w:tcBorders/>
          </w:tcPr>
          <w:p>
            <w:pPr>
              <w:pStyle w:val="TableContents"/>
              <w:widowControl w:val="false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Puriko09</w:t>
            </w:r>
          </w:p>
        </w:tc>
        <w:tc>
          <w:tcPr>
            <w:tcW w:w="1300" w:type="dxa"/>
            <w:tcBorders/>
          </w:tcPr>
          <w:p>
            <w:pPr>
              <w:pStyle w:val="TableContents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91" w:type="dxa"/>
            <w:tcBorders/>
          </w:tcPr>
          <w:p>
            <w:pPr>
              <w:pStyle w:val="TableContents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082" w:type="dxa"/>
            <w:tcBorders/>
          </w:tcPr>
          <w:p>
            <w:pPr>
              <w:pStyle w:val="TableContents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</w:tr>
      <w:tr>
        <w:trPr/>
        <w:tc>
          <w:tcPr>
            <w:tcW w:w="1135" w:type="dxa"/>
            <w:tcBorders/>
          </w:tcPr>
          <w:p>
            <w:pPr>
              <w:pStyle w:val="TableContents"/>
              <w:widowControl w:val="false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Spot</w:t>
            </w:r>
          </w:p>
        </w:tc>
        <w:tc>
          <w:tcPr>
            <w:tcW w:w="1300" w:type="dxa"/>
            <w:tcBorders/>
          </w:tcPr>
          <w:p>
            <w:pPr>
              <w:pStyle w:val="TableContents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91" w:type="dxa"/>
            <w:tcBorders/>
          </w:tcPr>
          <w:p>
            <w:pPr>
              <w:pStyle w:val="TableContents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082" w:type="dxa"/>
            <w:tcBorders/>
          </w:tcPr>
          <w:p>
            <w:pPr>
              <w:pStyle w:val="TableContents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0.85</w:t>
            </w:r>
          </w:p>
        </w:tc>
      </w:tr>
      <w:tr>
        <w:trPr/>
        <w:tc>
          <w:tcPr>
            <w:tcW w:w="1135" w:type="dxa"/>
            <w:tcBorders/>
          </w:tcPr>
          <w:p>
            <w:pPr>
              <w:pStyle w:val="TableContents"/>
              <w:widowControl w:val="false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Tim</w:t>
            </w:r>
          </w:p>
        </w:tc>
        <w:tc>
          <w:tcPr>
            <w:tcW w:w="1300" w:type="dxa"/>
            <w:tcBorders/>
          </w:tcPr>
          <w:p>
            <w:pPr>
              <w:pStyle w:val="TableContents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91" w:type="dxa"/>
            <w:tcBorders/>
          </w:tcPr>
          <w:p>
            <w:pPr>
              <w:pStyle w:val="TableContents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082" w:type="dxa"/>
            <w:tcBorders/>
          </w:tcPr>
          <w:p>
            <w:pPr>
              <w:pStyle w:val="TableContents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0.31</w:t>
            </w:r>
          </w:p>
        </w:tc>
      </w:tr>
      <w:tr>
        <w:trPr/>
        <w:tc>
          <w:tcPr>
            <w:tcW w:w="1135" w:type="dxa"/>
            <w:tcBorders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Yubisashi</w:t>
            </w:r>
          </w:p>
        </w:tc>
        <w:tc>
          <w:tcPr>
            <w:tcW w:w="1300" w:type="dxa"/>
            <w:tcBorders>
              <w:bottom w:val="single" w:sz="4" w:space="0" w:color="000000"/>
            </w:tcBorders>
          </w:tcPr>
          <w:p>
            <w:pPr>
              <w:pStyle w:val="TableContents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91" w:type="dxa"/>
            <w:tcBorders>
              <w:bottom w:val="single" w:sz="4" w:space="0" w:color="000000"/>
            </w:tcBorders>
          </w:tcPr>
          <w:p>
            <w:pPr>
              <w:pStyle w:val="TableContents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082" w:type="dxa"/>
            <w:tcBorders>
              <w:bottom w:val="single" w:sz="4" w:space="0" w:color="000000"/>
            </w:tcBorders>
          </w:tcPr>
          <w:p>
            <w:pPr>
              <w:pStyle w:val="TableContents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0.12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GB"/>
        </w:rPr>
        <w:t>Results from binomial tests to assess if monkeys performed above chance level in the ambiguous condition when they did not look inside the tubes. Probability of success was 0.25.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orient="landscape" w:w="16838" w:h="11906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游明朝" w:cs="" w:asciiTheme="minorHAnsi" w:cstheme="minorBidi" w:eastAsiaTheme="minorEastAsia" w:hAnsiTheme="minorHAnsi"/>
        <w:kern w:val="2"/>
        <w:sz w:val="22"/>
        <w:szCs w:val="22"/>
        <w:lang w:val="fr-FR" w:eastAsia="ja-JP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29a9"/>
    <w:pPr>
      <w:widowControl/>
      <w:bidi w:val="0"/>
      <w:spacing w:lineRule="auto" w:line="259" w:before="0" w:after="160"/>
      <w:jc w:val="left"/>
    </w:pPr>
    <w:rPr>
      <w:rFonts w:ascii="Calibri" w:hAnsi="Calibri" w:eastAsia="游明朝" w:cs="" w:asciiTheme="minorHAnsi" w:cstheme="minorBidi" w:eastAsiaTheme="minorEastAsia" w:hAnsiTheme="minorHAnsi"/>
      <w:color w:val="auto"/>
      <w:kern w:val="2"/>
      <w:sz w:val="22"/>
      <w:szCs w:val="22"/>
      <w:lang w:val="fr-FR" w:eastAsia="ja-JP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Standard" w:customStyle="1">
    <w:name w:val="Standard"/>
    <w:qFormat/>
    <w:rsid w:val="00b929a9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NSimSun" w:cs="Lucida Sans"/>
      <w:color w:val="auto"/>
      <w:kern w:val="2"/>
      <w:sz w:val="24"/>
      <w:szCs w:val="24"/>
      <w:lang w:eastAsia="zh-CN" w:bidi="hi-IN" w:val="fr-FR"/>
      <w14:ligatures w14:val="none"/>
    </w:rPr>
  </w:style>
  <w:style w:type="paragraph" w:styleId="TableContents" w:customStyle="1">
    <w:name w:val="Table Contents"/>
    <w:basedOn w:val="Standard"/>
    <w:qFormat/>
    <w:rsid w:val="00b929a9"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Application>LibreOffice/7.0.4.2$Windows_X86_64 LibreOffice_project/dcf040e67528d9187c66b2379df5ea4407429775</Application>
  <AppVersion>15.0000</AppVersion>
  <Pages>2</Pages>
  <Words>120</Words>
  <Characters>616</Characters>
  <CharactersWithSpaces>682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2023-04-28T02:23:00Z</dcterms:created>
  <dc:creator>subias.lorraine@gmail.com</dc:creator>
  <dc:description/>
  <dc:language>fr-FR</dc:language>
  <cp:lastModifiedBy/>
  <dcterms:modified xsi:type="dcterms:W3CDTF">2023-06-06T14:59:38Z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