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 w:line="480" w:lineRule="auto"/>
        <w:ind w:right="100"/>
        <w:jc w:val="both"/>
        <w:rPr>
          <w:rFonts w:ascii="Times New Roman" w:hAnsi="Times New Roman" w:eastAsia="宋体" w:cs="Times New Roman"/>
          <w:color w:val="000000"/>
          <w:sz w:val="22"/>
          <w:szCs w:val="22"/>
          <w:lang w:eastAsia="zh-CN"/>
        </w:rPr>
      </w:pPr>
      <w:bookmarkStart w:id="2" w:name="_GoBack"/>
      <w:r>
        <w:rPr>
          <w:rFonts w:ascii="Times New Roman" w:hAnsi="Times New Roman" w:eastAsia="宋体" w:cs="Times New Roman"/>
          <w:color w:val="000000"/>
          <w:sz w:val="22"/>
          <w:szCs w:val="22"/>
          <w:lang w:eastAsia="zh-CN"/>
        </w:rPr>
        <w:t>Table S1 Statistical results of clinical baseline data collected from patients.</w:t>
      </w:r>
    </w:p>
    <w:p>
      <w:pPr>
        <w:spacing w:before="100" w:after="100" w:line="480" w:lineRule="auto"/>
        <w:ind w:left="100" w:right="100"/>
        <w:jc w:val="center"/>
        <w:rPr>
          <w:rFonts w:ascii="Times New Roman" w:hAnsi="Times New Roman" w:eastAsia="宋体" w:cs="Times New Roman"/>
          <w:color w:val="000000"/>
          <w:sz w:val="22"/>
          <w:szCs w:val="22"/>
          <w:lang w:eastAsia="zh-CN"/>
        </w:rPr>
      </w:pPr>
    </w:p>
    <w:tbl>
      <w:tblPr>
        <w:tblStyle w:val="8"/>
        <w:tblW w:w="981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3"/>
        <w:gridCol w:w="1731"/>
        <w:gridCol w:w="1731"/>
        <w:gridCol w:w="101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33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173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Non-PE</w:t>
            </w:r>
          </w:p>
        </w:tc>
        <w:tc>
          <w:tcPr>
            <w:tcW w:w="173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101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P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Sex 0=Female, 1=Male,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&lt; 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158 (37.3%)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65 (15.3%)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97 (22.9%)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104 (24.5%)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Age (years),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60 (52, 69)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60 (49, 67)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0.142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Heart rate (beats/min),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80 (72, 89)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80 (76, 91)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0.118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Systolic blood pressure (mmHg), 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131.09 ± 16.233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133.15 ± 16.059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0.200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Diastolic blood pressure (mmHg), 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78.157 ± 11.406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79.68 ± 10.68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0.168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Respiratory rate (breaths/min),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20 (19, 20)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20 (19, 20)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0.933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Body temperature (°C),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36.5 (36.2, 36.5)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36.5 (36.3, 36.5)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0.793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Fingertip oxygen saturation,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96 (95, 97)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96 (95, 97)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0.106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ypertension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 xml:space="preserve">istory 0=no, 1=yes, 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same as below, 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0.580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170 (40.1%)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117 (27.6%)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85 (20%)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52 (12.3%)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D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iabetes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bookmarkStart w:id="0" w:name="OLE_LINK1"/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istory</w:t>
            </w:r>
            <w:bookmarkEnd w:id="0"/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0.263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228 (53.8%)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145 (34.2%)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27 (6.4%)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24 (5.7%)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C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hronic heart failure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istory,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253 (59.7%)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167 (39.4%)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 (0.5%)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 (0.5%)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C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hronic lung disease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istory,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0.218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248 (58.5%)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168 (39.6%)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7 (1.7%)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 (0.2%)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A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rterial embolism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istory,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0.524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221 (52.1%)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150 (35.4%)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34 (8%)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19 (4.5%)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C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oronary artery disease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istory,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0.451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242 (57.1%)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163 (38.4%)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 (3.1%)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 (1.4%)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C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erebral infarction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istory,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0.524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221 (52.1%)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150 (35.4%)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34 (8%)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19 (4.5%)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A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rterial stenosis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istory,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0.705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235 (55.4%)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154 (36.3%)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20 (4.7%)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15 (3.5%)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A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therosclerosis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h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istory,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0.726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197 (46.5%)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133 (31.4%)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58 (13.7%)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36 (8.5%)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 xml:space="preserve">Previous history of venous thrombosis 1=History of lower limb venous thrombosis 2=Pulmonary embolism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3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 xml:space="preserve">=Two or more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4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=None,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0.744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10 (2.4%)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4 (0.9%)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 (0.2%)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 (0.2%)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 (0.7%)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 (0.2%)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241 (56.8%)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163 (38.4%)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Presence of etiological factors,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0.319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86 (20.3%)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65 (15.3%)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169 (39.9%)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104 (24.5%)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Surgery History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，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0.848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214（50.5%）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143（33.7%）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41（9.7%）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26（6.1%）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mmobil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ization 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eastAsia="zh-CN"/>
              </w:rPr>
              <w:t>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istory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 xml:space="preserve"> in the past month 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0.676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202 (47.6%)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131 (30.9%)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53 (12.5%)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38 (9%)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Cancer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istor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y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0.168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209 (49.3%)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147 (34.7%)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46 (10.8%)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22 (5.2%)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Unilateral lower limb pain 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0.466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101 (23.8%)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61 (14.4%)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154 (36.3%)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108 (25.5%)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Unilateral swelling 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0.513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39 (9.2%)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22 (5.2%)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216 (50.9%)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147 (34.7%)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DVT occurring limb 1=left side 2=right side 3=bilateral,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0.076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143 (33.7%)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78 (18.4%)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62 (14.6%)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57 (13.4%)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50 (11.8%)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34 (8%)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Swelling of the limb on the side where DVT occurred 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0.487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41 (9.7%)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23 (5.4%)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214 (50.5%)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146 (34.4%)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Pain in the limb on which DVT occurs,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0.682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94 (22.2%)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59 (13.9%)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161 (38%)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110 (25.9%)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DVT site (1=femoral and iliac veins 2=popliteal veins and distal 3=full),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0.093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38 (9%)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22 (5.2%)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132 (31.1%)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73 (17.2%)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85 (20%)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leftChars="0" w:right="100" w:right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74 (17.5%)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VTE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amily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istory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0.339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252 (59.4%)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164 (38.7%)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 (0.7%)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5 (1.2%)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White blood cell count (×10 µ),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6.3 (4.9, 7.8)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6.4 (5.2, 8.5)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0.187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Neutrophil count (×10 µ),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4.03 (2.89, 5.41)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4.31 (3.21, 6.2)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0.074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Lymphocyte count (×10 µ),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1.49 (1.16, 1.825)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 (1.09, 1.8)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0.206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Eosinophils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count (×10 µ),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0.1 (0.06, 0.175)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0.1 (0.04, 0.16)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0.789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Basophils count(×10 µ),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0.03 (0.02, 0.04)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0.03 (0.02, 0.04)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0.541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Haemoglobin (g/L),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126 (111.5, 138.5)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132 (114, 144)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0.029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Platelet count (×10 µ),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217 (170.5, 264.5)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206 (162, 255)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0.202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D-dimer (ng/ml),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637 (306.5, 2025.5)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1270 (658, 2796)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&lt; 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PT(s),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11.8 (11.2, 12.55)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12.2 (11.5, 13.1)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&lt; 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APTT(s),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31.7 (29.2, 34.8)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31.7 (29.3, 34.3)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both"/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0.533</w:t>
            </w:r>
          </w:p>
          <w:p>
            <w:pPr>
              <w:spacing w:before="100" w:after="100" w:line="480" w:lineRule="auto"/>
              <w:ind w:right="100"/>
              <w:jc w:val="both"/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TT(s),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14 (13.3, 15)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13.7 (13.1, 15)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0.390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FIB (g/L),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3.31 (2.73, 3.91)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3.32 (2.84, 4.01)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0.403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Antithrombin III activity (%),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99 (90, 108)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95 (87, 104)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ALT (U/L),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17.2 (11.95, 27.2)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18.1 (11.8, 27.9)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0.748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AST (U/L),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19.5 (15.8, 26.95)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19.1 (15.4, 27.5)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0.601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Serum albumin (g/L),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37.4 (33.75, 40)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36.9 (33.8, 39.5)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0.545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Blood creatinine (umol/L),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70.6 (62.65, 79.65)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75.3 (65.9, 85.3)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Serum potassium (mmol/L), 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3.8624 ± 0.35684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3.9307 ± 0.36406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0.056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Serum sodium (mmol/L),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138.9 (136.9, 140.4)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138.7 (136.5, 140.2)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0.255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Serum chloride (mmol/L), median (IQR)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105.2 (102.85, 107.15)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104.7 (102.3, 106.4)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0.047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before="100" w:after="100" w:line="480" w:lineRule="auto"/>
        <w:ind w:left="102" w:right="102"/>
        <w:jc w:val="both"/>
        <w:rPr>
          <w:rFonts w:ascii="Times New Roman" w:hAnsi="Times New Roman" w:eastAsia="Arial" w:cs="Times New Roman"/>
          <w:color w:val="000000"/>
          <w:sz w:val="22"/>
          <w:szCs w:val="22"/>
          <w:lang w:eastAsia="zh-CN"/>
        </w:rPr>
      </w:pPr>
      <w:r>
        <w:rPr>
          <w:rFonts w:ascii="Times New Roman" w:hAnsi="Times New Roman" w:eastAsia="Arial" w:cs="Times New Roman"/>
          <w:color w:val="000000"/>
          <w:sz w:val="22"/>
          <w:szCs w:val="22"/>
          <w:lang w:eastAsia="zh-CN"/>
        </w:rPr>
        <w:t>Note: DVT: Deep Vein Thrombosis; PT: Prothrombin Time; APTT: Activated Partial Thromboplastin Time; TT: Thrombin Time; FIB: Fibrinogen; ALT: Alanine Aminotransferase; AST: Aspartate Aminotransferase. ALT: Alanine Aminotransferase; AST: Aspartate Aminotransferase.</w:t>
      </w: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Table S2 Principal Component Analysis (PCA) Contributions of Top 37 Clinical Factors for Pulmonary Embolism Risk Assessment</w:t>
      </w: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9"/>
        <w:tblW w:w="5000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4"/>
        <w:gridCol w:w="455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Factor</w:t>
            </w:r>
          </w:p>
        </w:tc>
        <w:tc>
          <w:tcPr>
            <w:tcW w:w="2132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PCA Contribution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Surgery History</w:t>
            </w:r>
          </w:p>
        </w:tc>
        <w:tc>
          <w:tcPr>
            <w:tcW w:w="2132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0.410171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Fibrinogen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0.358052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Prothrombin Time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0.348968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Activated Partial Thromboplastin Time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0.310127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Coronary Heart Disease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0.240626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Hypertension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0.217242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VTE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amily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0.189477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D-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imer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0.187352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Arterial Stenosis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0.177364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Antithrombin III Activity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0.170385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B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asophilic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Count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0.152981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Arteriosclerosis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0.141174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Body Temperature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0.137686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Presence of 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tiological 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actors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0.136228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0.132743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Platelet Count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0.131469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Thrombin Time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0.125334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Immobilization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0.123982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 Blood Pressure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0.123497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Venous Thrombosis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0.109457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Blood Oxygen Saturation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0.10425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0.090734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Cancer History 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0.088844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Respiratory Rate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0.081267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Aspartate Aminotransferase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0.074987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Chronic Lung Disease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0.074498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Blood Potassium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OLE_LINK2"/>
            <w:r>
              <w:rPr>
                <w:rFonts w:ascii="Times New Roman" w:hAnsi="Times New Roman" w:cs="Times New Roman"/>
                <w:sz w:val="22"/>
                <w:szCs w:val="22"/>
              </w:rPr>
              <w:t>0.073202</w:t>
            </w:r>
            <w:bookmarkEnd w:id="1"/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Alanine Aminotransferase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0.072602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Heart Rate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0.066132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Chronic Heart Failure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0.052186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Unilateral Lower Limb Swelling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0.051072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DVT Location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0.044974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Diabetes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0.036445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Unilateral Lower Limb Pain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0.030719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Cerebral Infarction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0.029569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Arterial 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mbolism History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0.029569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DVT Affected Limb </w:t>
            </w:r>
          </w:p>
        </w:tc>
        <w:tc>
          <w:tcPr>
            <w:tcW w:w="2132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0.025975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jc w:val="center"/>
        <w:rPr>
          <w:rFonts w:ascii="Times New Roman" w:hAnsi="Times New Roman" w:eastAsia="宋体" w:cs="Times New Roman"/>
          <w:sz w:val="22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drawing>
          <wp:inline distT="0" distB="0" distL="114300" distR="114300">
            <wp:extent cx="6636385" cy="4494530"/>
            <wp:effectExtent l="0" t="0" r="8255" b="1270"/>
            <wp:docPr id="1" name="图片 1" descr="1685289676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52896764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449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drawing>
          <wp:inline distT="0" distB="0" distL="114300" distR="114300">
            <wp:extent cx="6635750" cy="4761865"/>
            <wp:effectExtent l="0" t="0" r="8890" b="8255"/>
            <wp:docPr id="2" name="图片 2" descr="1685289758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52897586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476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</w:rPr>
        <w:t>Figure S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t>1</w:t>
      </w:r>
      <w:r>
        <w:rPr>
          <w:rFonts w:ascii="Times New Roman" w:hAnsi="Times New Roman" w:cs="Times New Roman"/>
          <w:sz w:val="22"/>
          <w:szCs w:val="22"/>
        </w:rPr>
        <w:t>：The flowchart of the patient selection process</w:t>
      </w:r>
    </w:p>
    <w:p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inline distT="0" distB="0" distL="0" distR="0">
            <wp:extent cx="5756910" cy="3280410"/>
            <wp:effectExtent l="0" t="0" r="0" b="0"/>
            <wp:docPr id="9145041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04116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Figure S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t>2</w:t>
      </w:r>
      <w:r>
        <w:rPr>
          <w:rFonts w:ascii="Times New Roman" w:hAnsi="Times New Roman" w:cs="Times New Roman"/>
          <w:sz w:val="22"/>
          <w:szCs w:val="22"/>
        </w:rPr>
        <w:t>：Display of the operation interface of PulmoRiskAI.</w:t>
      </w: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bookmarkEnd w:id="2"/>
    <w:sectPr>
      <w:type w:val="continuous"/>
      <w:pgSz w:w="11900" w:h="16840"/>
      <w:pgMar w:top="720" w:right="720" w:bottom="720" w:left="720" w:header="708" w:footer="708" w:gutter="0"/>
      <w:lnNumType w:countBy="1" w:restart="continuous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08"/>
  <w:hyphenationZone w:val="425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mODEzNGU3MzEyNGY1MDA5MDQ2ODIyMWM5Yzc5NDMifQ=="/>
    <w:docVar w:name="KY_MEDREF_DOCUID" w:val="{CBF725DD-60FD-4614-81FC-F2054244E750}"/>
    <w:docVar w:name="KY_MEDREF_VERSION" w:val="3"/>
  </w:docVars>
  <w:rsids>
    <w:rsidRoot w:val="00B4379D"/>
    <w:rsid w:val="00036527"/>
    <w:rsid w:val="00073835"/>
    <w:rsid w:val="000F05C8"/>
    <w:rsid w:val="00103F09"/>
    <w:rsid w:val="00110593"/>
    <w:rsid w:val="001379FE"/>
    <w:rsid w:val="001919A8"/>
    <w:rsid w:val="001C0A13"/>
    <w:rsid w:val="001D75AB"/>
    <w:rsid w:val="001E67BF"/>
    <w:rsid w:val="00297E29"/>
    <w:rsid w:val="00317E3D"/>
    <w:rsid w:val="00335A95"/>
    <w:rsid w:val="0035500D"/>
    <w:rsid w:val="00362E65"/>
    <w:rsid w:val="003D21B2"/>
    <w:rsid w:val="003F5B9B"/>
    <w:rsid w:val="004158F9"/>
    <w:rsid w:val="00457CF1"/>
    <w:rsid w:val="00567258"/>
    <w:rsid w:val="00642E09"/>
    <w:rsid w:val="006E5286"/>
    <w:rsid w:val="00702436"/>
    <w:rsid w:val="00747CCE"/>
    <w:rsid w:val="007B3E96"/>
    <w:rsid w:val="008D2451"/>
    <w:rsid w:val="008D4E5E"/>
    <w:rsid w:val="008F1F48"/>
    <w:rsid w:val="00901463"/>
    <w:rsid w:val="00946CB3"/>
    <w:rsid w:val="00AE18EF"/>
    <w:rsid w:val="00AE1BDD"/>
    <w:rsid w:val="00AF2976"/>
    <w:rsid w:val="00B3547C"/>
    <w:rsid w:val="00B4379D"/>
    <w:rsid w:val="00C27329"/>
    <w:rsid w:val="00C31EEB"/>
    <w:rsid w:val="00CF6396"/>
    <w:rsid w:val="00D6059A"/>
    <w:rsid w:val="00DF37C3"/>
    <w:rsid w:val="00E34A62"/>
    <w:rsid w:val="00F12158"/>
    <w:rsid w:val="00F66FD3"/>
    <w:rsid w:val="00FB63E7"/>
    <w:rsid w:val="00FC557F"/>
    <w:rsid w:val="02674DD0"/>
    <w:rsid w:val="026779BA"/>
    <w:rsid w:val="031B261C"/>
    <w:rsid w:val="055A55B4"/>
    <w:rsid w:val="05790131"/>
    <w:rsid w:val="080408FF"/>
    <w:rsid w:val="0C3E178C"/>
    <w:rsid w:val="0E6574A4"/>
    <w:rsid w:val="11131439"/>
    <w:rsid w:val="11C12C43"/>
    <w:rsid w:val="11D5049D"/>
    <w:rsid w:val="127E28E2"/>
    <w:rsid w:val="14A909A4"/>
    <w:rsid w:val="165C0883"/>
    <w:rsid w:val="17516817"/>
    <w:rsid w:val="17712A16"/>
    <w:rsid w:val="18F338FE"/>
    <w:rsid w:val="1A604FC3"/>
    <w:rsid w:val="1FFD7B7F"/>
    <w:rsid w:val="21871088"/>
    <w:rsid w:val="22F95FB5"/>
    <w:rsid w:val="257A33DD"/>
    <w:rsid w:val="276B56D3"/>
    <w:rsid w:val="2852419D"/>
    <w:rsid w:val="292D0766"/>
    <w:rsid w:val="29C23A00"/>
    <w:rsid w:val="29D07A70"/>
    <w:rsid w:val="29E23D93"/>
    <w:rsid w:val="2EB77450"/>
    <w:rsid w:val="300F0BC6"/>
    <w:rsid w:val="3598340C"/>
    <w:rsid w:val="369342FF"/>
    <w:rsid w:val="38D63E69"/>
    <w:rsid w:val="3D1D700B"/>
    <w:rsid w:val="3E012496"/>
    <w:rsid w:val="3FF43934"/>
    <w:rsid w:val="42293D69"/>
    <w:rsid w:val="43244531"/>
    <w:rsid w:val="46BF6A4A"/>
    <w:rsid w:val="46FD7572"/>
    <w:rsid w:val="47DB5B06"/>
    <w:rsid w:val="4D4B5474"/>
    <w:rsid w:val="4E703BAC"/>
    <w:rsid w:val="4EAF1A9A"/>
    <w:rsid w:val="53715BFE"/>
    <w:rsid w:val="53E61ABA"/>
    <w:rsid w:val="57C32112"/>
    <w:rsid w:val="58D81BED"/>
    <w:rsid w:val="594B0611"/>
    <w:rsid w:val="5BE30FD5"/>
    <w:rsid w:val="5C6C4B26"/>
    <w:rsid w:val="5DF568CD"/>
    <w:rsid w:val="5EAC1B52"/>
    <w:rsid w:val="5F1F0576"/>
    <w:rsid w:val="618648DC"/>
    <w:rsid w:val="69E14DA6"/>
    <w:rsid w:val="6F7C731F"/>
    <w:rsid w:val="70587444"/>
    <w:rsid w:val="70BB79D3"/>
    <w:rsid w:val="736D1458"/>
    <w:rsid w:val="75FB71EF"/>
    <w:rsid w:val="77DE0B76"/>
    <w:rsid w:val="77E93077"/>
    <w:rsid w:val="78436C2C"/>
    <w:rsid w:val="78520C1D"/>
    <w:rsid w:val="797D36AD"/>
    <w:rsid w:val="79A13C0A"/>
    <w:rsid w:val="7CBC6FAC"/>
    <w:rsid w:val="7E3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2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2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Grid"/>
    <w:basedOn w:val="8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1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styleId="13">
    <w:name w:val="line number"/>
    <w:basedOn w:val="12"/>
    <w:semiHidden/>
    <w:unhideWhenUsed/>
    <w:qFormat/>
    <w:uiPriority w:val="99"/>
  </w:style>
  <w:style w:type="character" w:customStyle="1" w:styleId="14">
    <w:name w:val="要点1"/>
    <w:basedOn w:val="12"/>
    <w:qFormat/>
    <w:uiPriority w:val="1"/>
    <w:rPr>
      <w:b/>
    </w:rPr>
  </w:style>
  <w:style w:type="paragraph" w:customStyle="1" w:styleId="15">
    <w:name w:val="centered"/>
    <w:basedOn w:val="1"/>
    <w:qFormat/>
    <w:uiPriority w:val="0"/>
    <w:pPr>
      <w:jc w:val="center"/>
    </w:pPr>
  </w:style>
  <w:style w:type="table" w:customStyle="1" w:styleId="16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7">
    <w:name w:val="标题 1 字符"/>
    <w:basedOn w:val="12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2 字符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9">
    <w:name w:val="标题 3 字符"/>
    <w:basedOn w:val="12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20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21">
    <w:name w:val="Table Caption"/>
    <w:basedOn w:val="20"/>
    <w:qFormat/>
    <w:uiPriority w:val="0"/>
  </w:style>
  <w:style w:type="character" w:customStyle="1" w:styleId="22">
    <w:name w:val="批注框文本 字符"/>
    <w:basedOn w:val="12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3">
    <w:name w:val="reference_id"/>
    <w:basedOn w:val="12"/>
    <w:qFormat/>
    <w:uiPriority w:val="1"/>
    <w:rPr>
      <w:vertAlign w:val="superscript"/>
    </w:rPr>
  </w:style>
  <w:style w:type="paragraph" w:customStyle="1" w:styleId="24">
    <w:name w:val="graphic title"/>
    <w:basedOn w:val="20"/>
    <w:next w:val="1"/>
    <w:qFormat/>
    <w:uiPriority w:val="0"/>
  </w:style>
  <w:style w:type="paragraph" w:customStyle="1" w:styleId="25">
    <w:name w:val="table title"/>
    <w:basedOn w:val="21"/>
    <w:next w:val="1"/>
    <w:qFormat/>
    <w:uiPriority w:val="0"/>
  </w:style>
  <w:style w:type="paragraph" w:customStyle="1" w:styleId="26">
    <w:name w:val="Revision"/>
    <w:hidden/>
    <w:semiHidden/>
    <w:uiPriority w:val="99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980</Words>
  <Characters>5008</Characters>
  <Lines>43</Lines>
  <Paragraphs>12</Paragraphs>
  <TotalTime>5</TotalTime>
  <ScaleCrop>false</ScaleCrop>
  <LinksUpToDate>false</LinksUpToDate>
  <CharactersWithSpaces>5588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2023-05-18T06:43:00Z</dcterms:created>
  <dc:creator>Liyang Wang</dc:creator>
  <cp:lastModifiedBy>田宇</cp:lastModifiedBy>
  <dcterms:modified xsi:type="dcterms:W3CDTF">2023-06-06T03:21:43Z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F419EB40F503486FB4D79FFB50DD0B25_13</vt:lpwstr>
  </property>
</Properties>
</file>