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4579" w:rsidRDefault="00DA73A6">
      <w:bookmarkStart w:id="0" w:name="_GoBack"/>
      <w:bookmarkEnd w:id="0"/>
      <w:r w:rsidRPr="00DA73A6">
        <w:rPr>
          <w:b/>
        </w:rPr>
        <w:t>Supplemental table 1.</w:t>
      </w:r>
      <w:r>
        <w:t xml:space="preserve"> Observational </w:t>
      </w:r>
      <w:r w:rsidR="00E90303">
        <w:t>analyses</w:t>
      </w:r>
      <w:r>
        <w:t xml:space="preserve"> </w:t>
      </w:r>
      <w:r w:rsidR="00E90303">
        <w:t>of the associations between</w:t>
      </w:r>
      <w:r>
        <w:t xml:space="preserve"> </w:t>
      </w:r>
      <w:r w:rsidR="008A58D1">
        <w:t>the levels of</w:t>
      </w:r>
      <w:r>
        <w:t xml:space="preserve"> 1160 plasma proteins and digit symbol substitution test (DSST) performance in PURE-MIND. Results are shown for the primary analytic approach and a sensitivity analysis in which education was adjusted for. </w:t>
      </w:r>
      <w:r w:rsidR="00A508DF">
        <w:t xml:space="preserve">Protein levels were deemed to be associated with DSST performance when </w:t>
      </w:r>
      <w:r w:rsidR="00A508DF" w:rsidRPr="00A508DF">
        <w:rPr>
          <w:i/>
        </w:rPr>
        <w:t>p</w:t>
      </w:r>
      <w:r w:rsidR="00A508DF">
        <w:t xml:space="preserve"> &lt; 4.31 x 10</w:t>
      </w:r>
      <w:r w:rsidR="00A508DF" w:rsidRPr="00A508DF">
        <w:rPr>
          <w:vertAlign w:val="superscript"/>
        </w:rPr>
        <w:t>-5</w:t>
      </w:r>
      <w:r w:rsidR="00A508DF">
        <w:t>.</w:t>
      </w:r>
    </w:p>
    <w:p w:rsidR="00C8734A" w:rsidRDefault="00C8734A" w:rsidP="00C8734A">
      <w:pPr>
        <w:rPr>
          <w:rFonts w:ascii="Calibri" w:eastAsia="Times New Roman" w:hAnsi="Calibri" w:cs="Calibri"/>
          <w:color w:val="000000"/>
          <w:lang w:eastAsia="en-GB"/>
        </w:rPr>
      </w:pPr>
      <w:r w:rsidRPr="00DA73A6">
        <w:rPr>
          <w:b/>
        </w:rPr>
        <w:t xml:space="preserve">Supplemental table </w:t>
      </w:r>
      <w:r>
        <w:rPr>
          <w:b/>
        </w:rPr>
        <w:t>2</w:t>
      </w:r>
      <w:r w:rsidRPr="00DA73A6">
        <w:rPr>
          <w:b/>
        </w:rPr>
        <w:t>.</w:t>
      </w:r>
      <w:r>
        <w:t xml:space="preserve"> </w:t>
      </w:r>
      <w:r w:rsidRPr="00C8734A">
        <w:rPr>
          <w:rFonts w:ascii="Calibri" w:eastAsia="Times New Roman" w:hAnsi="Calibri" w:cs="Calibri"/>
          <w:color w:val="000000"/>
          <w:lang w:eastAsia="en-GB"/>
        </w:rPr>
        <w:t>Assessment of the correlation between proteins whose expression is significantly correla</w:t>
      </w:r>
      <w:r>
        <w:rPr>
          <w:rFonts w:ascii="Calibri" w:eastAsia="Times New Roman" w:hAnsi="Calibri" w:cs="Calibri"/>
          <w:color w:val="000000"/>
          <w:lang w:eastAsia="en-GB"/>
        </w:rPr>
        <w:t>ted with DSST performance in PURE-MIND</w:t>
      </w:r>
      <w:r w:rsidRPr="00C8734A">
        <w:rPr>
          <w:rFonts w:ascii="Calibri" w:eastAsia="Times New Roman" w:hAnsi="Calibri" w:cs="Calibri"/>
          <w:color w:val="000000"/>
          <w:lang w:eastAsia="en-GB"/>
        </w:rPr>
        <w:t xml:space="preserve">. Pearson's correlation coefficients together with 95% confidence intervals are shown in the upper </w:t>
      </w:r>
      <w:r w:rsidR="007F027D">
        <w:rPr>
          <w:rFonts w:ascii="Calibri" w:eastAsia="Times New Roman" w:hAnsi="Calibri" w:cs="Calibri"/>
          <w:color w:val="000000"/>
          <w:lang w:eastAsia="en-GB"/>
        </w:rPr>
        <w:t>triangle</w:t>
      </w:r>
      <w:r w:rsidRPr="00C8734A">
        <w:rPr>
          <w:rFonts w:ascii="Calibri" w:eastAsia="Times New Roman" w:hAnsi="Calibri" w:cs="Calibri"/>
          <w:color w:val="000000"/>
          <w:lang w:eastAsia="en-GB"/>
        </w:rPr>
        <w:t xml:space="preserve">, whilst </w:t>
      </w:r>
      <w:r w:rsidRPr="00C8734A">
        <w:rPr>
          <w:rFonts w:ascii="Calibri" w:eastAsia="Times New Roman" w:hAnsi="Calibri" w:cs="Calibri"/>
          <w:i/>
          <w:iCs/>
          <w:color w:val="000000"/>
          <w:lang w:eastAsia="en-GB"/>
        </w:rPr>
        <w:t>p</w:t>
      </w:r>
      <w:r w:rsidRPr="00C8734A">
        <w:rPr>
          <w:rFonts w:ascii="Calibri" w:eastAsia="Times New Roman" w:hAnsi="Calibri" w:cs="Calibri"/>
          <w:color w:val="000000"/>
          <w:lang w:eastAsia="en-GB"/>
        </w:rPr>
        <w:t xml:space="preserve">-values are shown in the lower </w:t>
      </w:r>
      <w:r w:rsidR="007F027D">
        <w:rPr>
          <w:rFonts w:ascii="Calibri" w:eastAsia="Times New Roman" w:hAnsi="Calibri" w:cs="Calibri"/>
          <w:color w:val="000000"/>
          <w:lang w:eastAsia="en-GB"/>
        </w:rPr>
        <w:t>triangle</w:t>
      </w:r>
      <w:r w:rsidRPr="00C8734A">
        <w:rPr>
          <w:rFonts w:ascii="Calibri" w:eastAsia="Times New Roman" w:hAnsi="Calibri" w:cs="Calibri"/>
          <w:color w:val="000000"/>
          <w:lang w:eastAsia="en-GB"/>
        </w:rPr>
        <w:t>. Significant correlations (</w:t>
      </w:r>
      <w:r w:rsidRPr="00C8734A">
        <w:rPr>
          <w:rFonts w:ascii="Calibri" w:eastAsia="Times New Roman" w:hAnsi="Calibri" w:cs="Calibri"/>
          <w:i/>
          <w:iCs/>
          <w:color w:val="000000"/>
          <w:lang w:eastAsia="en-GB"/>
        </w:rPr>
        <w:t>p</w:t>
      </w:r>
      <w:r w:rsidRPr="00C8734A">
        <w:rPr>
          <w:rFonts w:ascii="Calibri" w:eastAsia="Times New Roman" w:hAnsi="Calibri" w:cs="Calibri"/>
          <w:color w:val="000000"/>
          <w:lang w:eastAsia="en-GB"/>
        </w:rPr>
        <w:t xml:space="preserve"> &lt; 0.005) are indicated by bold text.</w:t>
      </w:r>
    </w:p>
    <w:p w:rsidR="00C8734A" w:rsidRPr="00C8734A" w:rsidRDefault="00C8734A" w:rsidP="00C8734A">
      <w:pPr>
        <w:rPr>
          <w:rFonts w:ascii="Calibri" w:eastAsia="Times New Roman" w:hAnsi="Calibri" w:cs="Calibri"/>
          <w:color w:val="000000"/>
          <w:lang w:eastAsia="en-GB"/>
        </w:rPr>
      </w:pPr>
      <w:r w:rsidRPr="00C8734A">
        <w:rPr>
          <w:rFonts w:ascii="Calibri" w:eastAsia="Times New Roman" w:hAnsi="Calibri" w:cs="Calibri"/>
          <w:b/>
          <w:color w:val="000000"/>
          <w:lang w:eastAsia="en-GB"/>
        </w:rPr>
        <w:t>Supplemental Table 3.</w:t>
      </w:r>
      <w:r>
        <w:rPr>
          <w:rFonts w:ascii="Calibri" w:eastAsia="Times New Roman" w:hAnsi="Calibri" w:cs="Calibri"/>
          <w:color w:val="000000"/>
          <w:lang w:eastAsia="en-GB"/>
        </w:rPr>
        <w:t xml:space="preserve"> </w:t>
      </w:r>
      <w:r>
        <w:t xml:space="preserve">Observational </w:t>
      </w:r>
      <w:r w:rsidR="00E90303">
        <w:t xml:space="preserve">analyses of the associations between the </w:t>
      </w:r>
      <w:r w:rsidR="008A58D1">
        <w:t xml:space="preserve">levels of </w:t>
      </w:r>
      <w:r>
        <w:t xml:space="preserve">1160 plasma proteins and </w:t>
      </w:r>
      <w:r w:rsidR="0078259A">
        <w:t>Montreal Cognitive Assessment</w:t>
      </w:r>
      <w:r>
        <w:t xml:space="preserve"> (</w:t>
      </w:r>
      <w:proofErr w:type="spellStart"/>
      <w:r w:rsidR="0078259A">
        <w:t>MoCA</w:t>
      </w:r>
      <w:proofErr w:type="spellEnd"/>
      <w:r>
        <w:t>) performance in PURE-MIND.</w:t>
      </w:r>
      <w:r w:rsidR="00A508DF">
        <w:t xml:space="preserve"> Protein levels were deemed to be associated with </w:t>
      </w:r>
      <w:proofErr w:type="spellStart"/>
      <w:r w:rsidR="00A508DF">
        <w:t>MoCA</w:t>
      </w:r>
      <w:proofErr w:type="spellEnd"/>
      <w:r w:rsidR="00A508DF">
        <w:t xml:space="preserve"> performance when </w:t>
      </w:r>
      <w:r w:rsidR="00A508DF" w:rsidRPr="00A508DF">
        <w:rPr>
          <w:i/>
        </w:rPr>
        <w:t>p</w:t>
      </w:r>
      <w:r w:rsidR="00A508DF">
        <w:t xml:space="preserve"> &lt; 4.31 x 10</w:t>
      </w:r>
      <w:r w:rsidR="00A508DF" w:rsidRPr="00A508DF">
        <w:rPr>
          <w:vertAlign w:val="superscript"/>
        </w:rPr>
        <w:t>-5</w:t>
      </w:r>
      <w:r w:rsidR="00A508DF">
        <w:t>.</w:t>
      </w:r>
    </w:p>
    <w:p w:rsidR="00553DC3" w:rsidRPr="00553DC3" w:rsidRDefault="001410E9" w:rsidP="00C8734A">
      <w:r w:rsidRPr="00C8734A">
        <w:rPr>
          <w:rFonts w:ascii="Calibri" w:eastAsia="Times New Roman" w:hAnsi="Calibri" w:cs="Calibri"/>
          <w:b/>
          <w:color w:val="000000"/>
          <w:lang w:eastAsia="en-GB"/>
        </w:rPr>
        <w:t xml:space="preserve">Supplemental Table </w:t>
      </w:r>
      <w:r>
        <w:rPr>
          <w:rFonts w:ascii="Calibri" w:eastAsia="Times New Roman" w:hAnsi="Calibri" w:cs="Calibri"/>
          <w:b/>
          <w:color w:val="000000"/>
          <w:lang w:eastAsia="en-GB"/>
        </w:rPr>
        <w:t>4</w:t>
      </w:r>
      <w:r w:rsidRPr="00C8734A">
        <w:rPr>
          <w:rFonts w:ascii="Calibri" w:eastAsia="Times New Roman" w:hAnsi="Calibri" w:cs="Calibri"/>
          <w:b/>
          <w:color w:val="000000"/>
          <w:lang w:eastAsia="en-GB"/>
        </w:rPr>
        <w:t>.</w:t>
      </w:r>
      <w:r>
        <w:rPr>
          <w:rFonts w:ascii="Calibri" w:eastAsia="Times New Roman" w:hAnsi="Calibri" w:cs="Calibri"/>
          <w:b/>
          <w:color w:val="000000"/>
          <w:lang w:eastAsia="en-GB"/>
        </w:rPr>
        <w:t xml:space="preserve"> </w:t>
      </w:r>
      <w:r w:rsidR="00553DC3">
        <w:rPr>
          <w:rFonts w:ascii="Calibri" w:eastAsia="Times New Roman" w:hAnsi="Calibri" w:cs="Calibri"/>
          <w:color w:val="000000"/>
          <w:lang w:eastAsia="en-GB"/>
        </w:rPr>
        <w:t xml:space="preserve">Enrichment analyses for gene sets showing tissue-specific mRNA expression patterns.  Hypergeometric tests were performed to assess the enrichment or depletion of sets of genes expressed in a tissue-specific manner amongst those proteins </w:t>
      </w:r>
      <w:r w:rsidR="00553DC3">
        <w:t>showing nominally significant (</w:t>
      </w:r>
      <w:r w:rsidR="00553DC3" w:rsidRPr="001410E9">
        <w:rPr>
          <w:i/>
        </w:rPr>
        <w:t>p</w:t>
      </w:r>
      <w:r w:rsidR="00553DC3">
        <w:t xml:space="preserve"> &lt; 0.05) association with DSST performance in PURE-MIND.</w:t>
      </w:r>
      <w:r w:rsidR="00553DC3" w:rsidRPr="00677E31">
        <w:t xml:space="preserve"> </w:t>
      </w:r>
      <w:r w:rsidR="00553DC3">
        <w:t xml:space="preserve">Separate analyses were performed for all nominally significant proteins (“All”), and nominally significant proteins that showed positive (“Up”) and negative (“Down”) associations with DSST performance. For each gene set, the number of genes in the set (“N genes”), the number of set members in the target list (“N overlap”), </w:t>
      </w:r>
      <w:r w:rsidR="00553DC3" w:rsidRPr="00A37530">
        <w:rPr>
          <w:i/>
        </w:rPr>
        <w:t>p</w:t>
      </w:r>
      <w:r w:rsidR="00553DC3">
        <w:t xml:space="preserve">-value and false discovery rate (FDR)-corrected </w:t>
      </w:r>
      <w:r w:rsidR="00553DC3" w:rsidRPr="008A58D1">
        <w:rPr>
          <w:i/>
        </w:rPr>
        <w:t>p</w:t>
      </w:r>
      <w:r w:rsidR="00553DC3">
        <w:t xml:space="preserve">-value are shown. Significant enrichment was defined as FDR-corrected </w:t>
      </w:r>
      <w:r w:rsidR="00553DC3" w:rsidRPr="00A508DF">
        <w:rPr>
          <w:i/>
        </w:rPr>
        <w:t>p</w:t>
      </w:r>
      <w:r w:rsidR="00553DC3">
        <w:t xml:space="preserve"> &lt; 0.05.</w:t>
      </w:r>
    </w:p>
    <w:p w:rsidR="00E90303" w:rsidRPr="00677E31" w:rsidRDefault="001410E9" w:rsidP="00A508DF">
      <w:pPr>
        <w:rPr>
          <w:rFonts w:ascii="Calibri" w:eastAsia="Times New Roman" w:hAnsi="Calibri" w:cs="Calibri"/>
          <w:color w:val="000000"/>
          <w:lang w:eastAsia="en-GB"/>
        </w:rPr>
      </w:pPr>
      <w:r w:rsidRPr="00C8734A">
        <w:rPr>
          <w:rFonts w:ascii="Calibri" w:eastAsia="Times New Roman" w:hAnsi="Calibri" w:cs="Calibri"/>
          <w:b/>
          <w:color w:val="000000"/>
          <w:lang w:eastAsia="en-GB"/>
        </w:rPr>
        <w:t xml:space="preserve">Supplemental Table </w:t>
      </w:r>
      <w:r>
        <w:rPr>
          <w:rFonts w:ascii="Calibri" w:eastAsia="Times New Roman" w:hAnsi="Calibri" w:cs="Calibri"/>
          <w:b/>
          <w:color w:val="000000"/>
          <w:lang w:eastAsia="en-GB"/>
        </w:rPr>
        <w:t>5</w:t>
      </w:r>
      <w:r w:rsidRPr="00C8734A">
        <w:rPr>
          <w:rFonts w:ascii="Calibri" w:eastAsia="Times New Roman" w:hAnsi="Calibri" w:cs="Calibri"/>
          <w:b/>
          <w:color w:val="000000"/>
          <w:lang w:eastAsia="en-GB"/>
        </w:rPr>
        <w:t>.</w:t>
      </w:r>
      <w:r w:rsidR="00475AEC">
        <w:rPr>
          <w:rFonts w:ascii="Calibri" w:eastAsia="Times New Roman" w:hAnsi="Calibri" w:cs="Calibri"/>
          <w:b/>
          <w:color w:val="000000"/>
          <w:lang w:eastAsia="en-GB"/>
        </w:rPr>
        <w:t xml:space="preserve"> </w:t>
      </w:r>
      <w:r w:rsidR="00553DC3">
        <w:rPr>
          <w:rFonts w:ascii="Calibri" w:eastAsia="Times New Roman" w:hAnsi="Calibri" w:cs="Calibri"/>
          <w:color w:val="000000"/>
          <w:lang w:eastAsia="en-GB"/>
        </w:rPr>
        <w:t xml:space="preserve">Enrichment analyses for </w:t>
      </w:r>
      <w:r w:rsidR="00553DC3">
        <w:t xml:space="preserve">gene ontology categories (biological processes, molecular functions, and cellular compartments), </w:t>
      </w:r>
      <w:proofErr w:type="spellStart"/>
      <w:r w:rsidR="00553DC3">
        <w:t>Reactome</w:t>
      </w:r>
      <w:proofErr w:type="spellEnd"/>
      <w:r w:rsidR="00553DC3">
        <w:t xml:space="preserve"> pathways, and disease associations amongst proteins showing nominally significant (</w:t>
      </w:r>
      <w:r w:rsidR="00553DC3" w:rsidRPr="001410E9">
        <w:rPr>
          <w:i/>
        </w:rPr>
        <w:t>p</w:t>
      </w:r>
      <w:r w:rsidR="00553DC3">
        <w:t xml:space="preserve"> &lt; 0.05) association with DSST performance in PURE-MIND. Separate analyses were performed for all nominally significant proteins (“All”), and nominally significant proteins that showed positive (“Up”) and negative (“Down”) associations with DSST performance. For each set of proteins (all, down up), the ten most significantly enriched gene sets are shown. For each gene set, the total number of genes in that set (“Size”), the expected number of set members in the target list (“Expected”), the ratio of the observed to the expected number of set members in the target list (“Ratio”), and the hypergeometric test </w:t>
      </w:r>
      <w:r w:rsidR="00553DC3" w:rsidRPr="00A37530">
        <w:rPr>
          <w:i/>
        </w:rPr>
        <w:t>p</w:t>
      </w:r>
      <w:r w:rsidR="00553DC3">
        <w:t xml:space="preserve">-value and false discovery rate (FDR)-corrected </w:t>
      </w:r>
      <w:r w:rsidR="00553DC3" w:rsidRPr="008A58D1">
        <w:rPr>
          <w:i/>
        </w:rPr>
        <w:t>p</w:t>
      </w:r>
      <w:r w:rsidR="00553DC3">
        <w:t xml:space="preserve">-value are shown. Significant enrichment was defined as FDR-corrected </w:t>
      </w:r>
      <w:r w:rsidR="00553DC3" w:rsidRPr="00A508DF">
        <w:rPr>
          <w:i/>
        </w:rPr>
        <w:t>p</w:t>
      </w:r>
      <w:r w:rsidR="00553DC3">
        <w:t xml:space="preserve"> &lt; 0.05.</w:t>
      </w:r>
    </w:p>
    <w:p w:rsidR="00A508DF" w:rsidRDefault="001410E9" w:rsidP="00A508DF">
      <w:pPr>
        <w:rPr>
          <w:rFonts w:ascii="Calibri" w:eastAsia="Times New Roman" w:hAnsi="Calibri" w:cs="Calibri"/>
          <w:color w:val="000000"/>
          <w:lang w:eastAsia="en-GB"/>
        </w:rPr>
      </w:pPr>
      <w:r w:rsidRPr="00C8734A">
        <w:rPr>
          <w:rFonts w:ascii="Calibri" w:eastAsia="Times New Roman" w:hAnsi="Calibri" w:cs="Calibri"/>
          <w:b/>
          <w:color w:val="000000"/>
          <w:lang w:eastAsia="en-GB"/>
        </w:rPr>
        <w:t xml:space="preserve">Supplemental Table </w:t>
      </w:r>
      <w:r>
        <w:rPr>
          <w:rFonts w:ascii="Calibri" w:eastAsia="Times New Roman" w:hAnsi="Calibri" w:cs="Calibri"/>
          <w:b/>
          <w:color w:val="000000"/>
          <w:lang w:eastAsia="en-GB"/>
        </w:rPr>
        <w:t>6</w:t>
      </w:r>
      <w:r w:rsidRPr="00C8734A">
        <w:rPr>
          <w:rFonts w:ascii="Calibri" w:eastAsia="Times New Roman" w:hAnsi="Calibri" w:cs="Calibri"/>
          <w:b/>
          <w:color w:val="000000"/>
          <w:lang w:eastAsia="en-GB"/>
        </w:rPr>
        <w:t>.</w:t>
      </w:r>
      <w:r w:rsidR="00A508DF" w:rsidRPr="00A508DF">
        <w:rPr>
          <w:rFonts w:ascii="Calibri" w:eastAsia="Times New Roman" w:hAnsi="Calibri" w:cs="Calibri"/>
          <w:color w:val="000000"/>
          <w:lang w:eastAsia="en-GB"/>
        </w:rPr>
        <w:t xml:space="preserve"> </w:t>
      </w:r>
      <w:r w:rsidR="00A508DF" w:rsidRPr="008A58D1">
        <w:rPr>
          <w:rFonts w:ascii="Calibri" w:eastAsia="Times New Roman" w:hAnsi="Calibri" w:cs="Calibri"/>
          <w:color w:val="000000"/>
          <w:lang w:eastAsia="en-GB"/>
        </w:rPr>
        <w:t>Observational</w:t>
      </w:r>
      <w:r w:rsidR="00A508DF">
        <w:rPr>
          <w:rFonts w:ascii="Calibri" w:eastAsia="Times New Roman" w:hAnsi="Calibri" w:cs="Calibri"/>
          <w:b/>
          <w:color w:val="000000"/>
          <w:lang w:eastAsia="en-GB"/>
        </w:rPr>
        <w:t xml:space="preserve"> </w:t>
      </w:r>
      <w:r w:rsidR="00A508DF">
        <w:rPr>
          <w:rFonts w:ascii="Calibri" w:eastAsia="Times New Roman" w:hAnsi="Calibri" w:cs="Calibri"/>
          <w:color w:val="000000"/>
          <w:lang w:eastAsia="en-GB"/>
        </w:rPr>
        <w:t xml:space="preserve">analyses of the associations between MRI-derived structural brain phenotypes and performance on the DSST in PURE-MIND and </w:t>
      </w:r>
      <w:r w:rsidR="00E61498">
        <w:rPr>
          <w:rFonts w:ascii="Calibri" w:eastAsia="Times New Roman" w:hAnsi="Calibri" w:cs="Calibri"/>
          <w:color w:val="000000"/>
          <w:lang w:eastAsia="en-GB"/>
        </w:rPr>
        <w:t>GS</w:t>
      </w:r>
      <w:r w:rsidR="00A508DF">
        <w:rPr>
          <w:rFonts w:ascii="Calibri" w:eastAsia="Times New Roman" w:hAnsi="Calibri" w:cs="Calibri"/>
          <w:color w:val="000000"/>
          <w:lang w:eastAsia="en-GB"/>
        </w:rPr>
        <w:t xml:space="preserve">. </w:t>
      </w:r>
      <w:r w:rsidR="007265D9">
        <w:rPr>
          <w:rFonts w:ascii="Calibri" w:eastAsia="Times New Roman" w:hAnsi="Calibri" w:cs="Calibri"/>
          <w:color w:val="000000"/>
          <w:lang w:eastAsia="en-GB"/>
        </w:rPr>
        <w:t xml:space="preserve">Volumetric phenotypes were corrected for intracranial volume. </w:t>
      </w:r>
      <w:r w:rsidR="00A508DF">
        <w:rPr>
          <w:rFonts w:ascii="Calibri" w:eastAsia="Times New Roman" w:hAnsi="Calibri" w:cs="Calibri"/>
          <w:color w:val="000000"/>
          <w:lang w:eastAsia="en-GB"/>
        </w:rPr>
        <w:t>Phenotypes identified as being significantly associated in PURE-MIND (</w:t>
      </w:r>
      <w:r w:rsidR="00A508DF" w:rsidRPr="00A508DF">
        <w:rPr>
          <w:rFonts w:ascii="Calibri" w:eastAsia="Times New Roman" w:hAnsi="Calibri" w:cs="Calibri"/>
          <w:i/>
          <w:color w:val="000000"/>
          <w:lang w:eastAsia="en-GB"/>
        </w:rPr>
        <w:t>p</w:t>
      </w:r>
      <w:r w:rsidR="00A508DF">
        <w:rPr>
          <w:rFonts w:ascii="Calibri" w:eastAsia="Times New Roman" w:hAnsi="Calibri" w:cs="Calibri"/>
          <w:color w:val="000000"/>
          <w:lang w:eastAsia="en-GB"/>
        </w:rPr>
        <w:t xml:space="preserve"> &lt; 0.00625) were asse</w:t>
      </w:r>
      <w:r w:rsidR="002D319A">
        <w:rPr>
          <w:rFonts w:ascii="Calibri" w:eastAsia="Times New Roman" w:hAnsi="Calibri" w:cs="Calibri"/>
          <w:color w:val="000000"/>
          <w:lang w:eastAsia="en-GB"/>
        </w:rPr>
        <w:t xml:space="preserve">ssed for replication in </w:t>
      </w:r>
      <w:r w:rsidR="00E61498">
        <w:rPr>
          <w:rFonts w:ascii="Calibri" w:eastAsia="Times New Roman" w:hAnsi="Calibri" w:cs="Calibri"/>
          <w:color w:val="000000"/>
          <w:lang w:eastAsia="en-GB"/>
        </w:rPr>
        <w:t>GS</w:t>
      </w:r>
      <w:r w:rsidR="002D319A">
        <w:rPr>
          <w:rFonts w:ascii="Calibri" w:eastAsia="Times New Roman" w:hAnsi="Calibri" w:cs="Calibri"/>
          <w:color w:val="000000"/>
          <w:lang w:eastAsia="en-GB"/>
        </w:rPr>
        <w:t xml:space="preserve">, in which replication was defined as </w:t>
      </w:r>
      <w:r w:rsidR="002D319A" w:rsidRPr="002D319A">
        <w:rPr>
          <w:rFonts w:ascii="Calibri" w:eastAsia="Times New Roman" w:hAnsi="Calibri" w:cs="Calibri"/>
          <w:i/>
          <w:color w:val="000000"/>
          <w:lang w:eastAsia="en-GB"/>
        </w:rPr>
        <w:t>p</w:t>
      </w:r>
      <w:r w:rsidR="002D319A">
        <w:rPr>
          <w:rFonts w:ascii="Calibri" w:eastAsia="Times New Roman" w:hAnsi="Calibri" w:cs="Calibri"/>
          <w:color w:val="000000"/>
          <w:lang w:eastAsia="en-GB"/>
        </w:rPr>
        <w:t xml:space="preserve"> &lt; 0.0125.</w:t>
      </w:r>
    </w:p>
    <w:p w:rsidR="001410E9" w:rsidRPr="002D319A" w:rsidRDefault="00A508DF" w:rsidP="00C8734A">
      <w:pPr>
        <w:rPr>
          <w:rFonts w:ascii="Calibri" w:eastAsia="Times New Roman" w:hAnsi="Calibri" w:cs="Calibri"/>
          <w:color w:val="000000"/>
          <w:lang w:eastAsia="en-GB"/>
        </w:rPr>
      </w:pPr>
      <w:r>
        <w:rPr>
          <w:rFonts w:ascii="Calibri" w:eastAsia="Times New Roman" w:hAnsi="Calibri" w:cs="Calibri"/>
          <w:color w:val="000000"/>
          <w:lang w:eastAsia="en-GB"/>
        </w:rPr>
        <w:t>*</w:t>
      </w:r>
      <w:r w:rsidRPr="00E90303">
        <w:rPr>
          <w:rFonts w:ascii="Calibri" w:eastAsia="Times New Roman" w:hAnsi="Calibri" w:cs="Calibri"/>
          <w:color w:val="000000"/>
          <w:lang w:eastAsia="en-GB"/>
        </w:rPr>
        <w:t>composite measure comprising regions selected for discrimination of Alzheimer’s disease cases from controls (Schwarz et al., 2016)</w:t>
      </w:r>
    </w:p>
    <w:p w:rsidR="001410E9" w:rsidRPr="00722874" w:rsidRDefault="001410E9" w:rsidP="00C8734A">
      <w:pPr>
        <w:rPr>
          <w:rFonts w:ascii="Calibri" w:eastAsia="Times New Roman" w:hAnsi="Calibri" w:cs="Calibri"/>
          <w:color w:val="000000"/>
          <w:lang w:eastAsia="en-GB"/>
        </w:rPr>
      </w:pPr>
      <w:r w:rsidRPr="00C8734A">
        <w:rPr>
          <w:rFonts w:ascii="Calibri" w:eastAsia="Times New Roman" w:hAnsi="Calibri" w:cs="Calibri"/>
          <w:b/>
          <w:color w:val="000000"/>
          <w:lang w:eastAsia="en-GB"/>
        </w:rPr>
        <w:t xml:space="preserve">Supplemental Table </w:t>
      </w:r>
      <w:r>
        <w:rPr>
          <w:rFonts w:ascii="Calibri" w:eastAsia="Times New Roman" w:hAnsi="Calibri" w:cs="Calibri"/>
          <w:b/>
          <w:color w:val="000000"/>
          <w:lang w:eastAsia="en-GB"/>
        </w:rPr>
        <w:t>7</w:t>
      </w:r>
      <w:r w:rsidRPr="00C8734A">
        <w:rPr>
          <w:rFonts w:ascii="Calibri" w:eastAsia="Times New Roman" w:hAnsi="Calibri" w:cs="Calibri"/>
          <w:b/>
          <w:color w:val="000000"/>
          <w:lang w:eastAsia="en-GB"/>
        </w:rPr>
        <w:t>.</w:t>
      </w:r>
      <w:r w:rsidR="00722874">
        <w:rPr>
          <w:rFonts w:ascii="Calibri" w:eastAsia="Times New Roman" w:hAnsi="Calibri" w:cs="Calibri"/>
          <w:b/>
          <w:color w:val="000000"/>
          <w:lang w:eastAsia="en-GB"/>
        </w:rPr>
        <w:t xml:space="preserve"> </w:t>
      </w:r>
      <w:r w:rsidR="00722874">
        <w:rPr>
          <w:rFonts w:ascii="Calibri" w:eastAsia="Times New Roman" w:hAnsi="Calibri" w:cs="Calibri"/>
          <w:color w:val="000000"/>
          <w:lang w:eastAsia="en-GB"/>
        </w:rPr>
        <w:t xml:space="preserve">Assessment of MRI-derived structural brain phenotypes as mediators of the association between plasma protein levels and DSST performance. Mediation was assessed by bootstrap mediation analysis (1000 resamples) and the average causal mediation effect (ACME) and proportion of the total effect attributable to the mediator calculated. Significant mediation was defined as an ACME </w:t>
      </w:r>
      <w:r w:rsidR="00722874" w:rsidRPr="00722874">
        <w:rPr>
          <w:rFonts w:ascii="Calibri" w:eastAsia="Times New Roman" w:hAnsi="Calibri" w:cs="Calibri"/>
          <w:i/>
          <w:color w:val="000000"/>
          <w:lang w:eastAsia="en-GB"/>
        </w:rPr>
        <w:t>p</w:t>
      </w:r>
      <w:r w:rsidR="00722874">
        <w:rPr>
          <w:rFonts w:ascii="Calibri" w:eastAsia="Times New Roman" w:hAnsi="Calibri" w:cs="Calibri"/>
          <w:color w:val="000000"/>
          <w:lang w:eastAsia="en-GB"/>
        </w:rPr>
        <w:t xml:space="preserve"> &lt; 0.</w:t>
      </w:r>
      <w:r w:rsidR="005B73EA">
        <w:rPr>
          <w:rFonts w:ascii="Calibri" w:eastAsia="Times New Roman" w:hAnsi="Calibri" w:cs="Calibri"/>
          <w:color w:val="000000"/>
          <w:lang w:eastAsia="en-GB"/>
        </w:rPr>
        <w:t>0</w:t>
      </w:r>
      <w:r w:rsidR="00722874">
        <w:rPr>
          <w:rFonts w:ascii="Calibri" w:eastAsia="Times New Roman" w:hAnsi="Calibri" w:cs="Calibri"/>
          <w:color w:val="000000"/>
          <w:lang w:eastAsia="en-GB"/>
        </w:rPr>
        <w:t xml:space="preserve">5/number proteins assessed for a given brain phenotype. </w:t>
      </w:r>
    </w:p>
    <w:p w:rsidR="00C8734A" w:rsidRPr="00D604B5" w:rsidRDefault="008103AC">
      <w:pPr>
        <w:rPr>
          <w:rFonts w:ascii="Calibri" w:eastAsia="Times New Roman" w:hAnsi="Calibri" w:cs="Calibri"/>
          <w:color w:val="000000"/>
          <w:lang w:eastAsia="en-GB"/>
        </w:rPr>
      </w:pPr>
      <w:r w:rsidRPr="00C8734A">
        <w:rPr>
          <w:rFonts w:ascii="Calibri" w:eastAsia="Times New Roman" w:hAnsi="Calibri" w:cs="Calibri"/>
          <w:b/>
          <w:color w:val="000000"/>
          <w:lang w:eastAsia="en-GB"/>
        </w:rPr>
        <w:t xml:space="preserve">Supplemental Table </w:t>
      </w:r>
      <w:r>
        <w:rPr>
          <w:rFonts w:ascii="Calibri" w:eastAsia="Times New Roman" w:hAnsi="Calibri" w:cs="Calibri"/>
          <w:b/>
          <w:color w:val="000000"/>
          <w:lang w:eastAsia="en-GB"/>
        </w:rPr>
        <w:t>8</w:t>
      </w:r>
      <w:r w:rsidRPr="00C8734A">
        <w:rPr>
          <w:rFonts w:ascii="Calibri" w:eastAsia="Times New Roman" w:hAnsi="Calibri" w:cs="Calibri"/>
          <w:b/>
          <w:color w:val="000000"/>
          <w:lang w:eastAsia="en-GB"/>
        </w:rPr>
        <w:t>.</w:t>
      </w:r>
      <w:r w:rsidR="00D604B5">
        <w:rPr>
          <w:rFonts w:ascii="Calibri" w:eastAsia="Times New Roman" w:hAnsi="Calibri" w:cs="Calibri"/>
          <w:b/>
          <w:color w:val="000000"/>
          <w:lang w:eastAsia="en-GB"/>
        </w:rPr>
        <w:t xml:space="preserve"> </w:t>
      </w:r>
      <w:r w:rsidR="00D604B5">
        <w:rPr>
          <w:rFonts w:ascii="Calibri" w:eastAsia="Times New Roman" w:hAnsi="Calibri" w:cs="Calibri"/>
          <w:color w:val="000000"/>
          <w:lang w:eastAsia="en-GB"/>
        </w:rPr>
        <w:t>Two-sample forward MR analyses to detect potentially causal effects of variation in (</w:t>
      </w:r>
      <w:proofErr w:type="spellStart"/>
      <w:r w:rsidR="00D604B5">
        <w:rPr>
          <w:rFonts w:ascii="Calibri" w:eastAsia="Times New Roman" w:hAnsi="Calibri" w:cs="Calibri"/>
          <w:color w:val="000000"/>
          <w:lang w:eastAsia="en-GB"/>
        </w:rPr>
        <w:t>i</w:t>
      </w:r>
      <w:proofErr w:type="spellEnd"/>
      <w:r w:rsidR="00D604B5">
        <w:rPr>
          <w:rFonts w:ascii="Calibri" w:eastAsia="Times New Roman" w:hAnsi="Calibri" w:cs="Calibri"/>
          <w:color w:val="000000"/>
          <w:lang w:eastAsia="en-GB"/>
        </w:rPr>
        <w:t xml:space="preserve">) plasma levels of five DSST performance-associated proteins and (ii) cognitive function, structural brain phenotypes, and stroke, intracranial aneurysm, and Alzheimer’s disease. Summary statistics are shown for each of four MR methodologies (inverse variance weighted (IVW), weighted median, robust adjusted profile score (RAPS), and MR-Egger), together with the number of SNPs </w:t>
      </w:r>
      <w:r w:rsidR="00F653F0">
        <w:rPr>
          <w:rFonts w:ascii="Calibri" w:eastAsia="Times New Roman" w:hAnsi="Calibri" w:cs="Calibri"/>
          <w:color w:val="000000"/>
          <w:lang w:eastAsia="en-GB"/>
        </w:rPr>
        <w:t>included as IVs for protein level</w:t>
      </w:r>
      <w:r w:rsidR="00D604B5">
        <w:rPr>
          <w:rFonts w:ascii="Calibri" w:eastAsia="Times New Roman" w:hAnsi="Calibri" w:cs="Calibri"/>
          <w:color w:val="000000"/>
          <w:lang w:eastAsia="en-GB"/>
        </w:rPr>
        <w:t xml:space="preserve">, the proportion of variance in protein level explained by these SNPs, </w:t>
      </w:r>
      <w:r w:rsidR="00F653F0">
        <w:rPr>
          <w:rFonts w:ascii="Calibri" w:eastAsia="Times New Roman" w:hAnsi="Calibri" w:cs="Calibri"/>
          <w:color w:val="000000"/>
          <w:lang w:eastAsia="en-GB"/>
        </w:rPr>
        <w:t xml:space="preserve">and </w:t>
      </w:r>
      <w:r w:rsidR="00D604B5">
        <w:rPr>
          <w:rFonts w:ascii="Calibri" w:eastAsia="Times New Roman" w:hAnsi="Calibri" w:cs="Calibri"/>
          <w:color w:val="000000"/>
          <w:lang w:eastAsia="en-GB"/>
        </w:rPr>
        <w:t xml:space="preserve">the F-statistic for the association between the </w:t>
      </w:r>
      <w:r w:rsidR="00F653F0">
        <w:rPr>
          <w:rFonts w:ascii="Calibri" w:eastAsia="Times New Roman" w:hAnsi="Calibri" w:cs="Calibri"/>
          <w:color w:val="000000"/>
          <w:lang w:eastAsia="en-GB"/>
        </w:rPr>
        <w:t xml:space="preserve">IVs and protein levels. The Egger intercept test p-value and Cochran’s Q-test p-value are shown to allow the assessment of directional and horizontal pleiotropy, respectively. The correct causal direction was defined as the IVs explaining a larger proportion of the variance in the exposure than the outcome, and </w:t>
      </w:r>
      <w:proofErr w:type="spellStart"/>
      <w:r w:rsidR="00F653F0">
        <w:rPr>
          <w:rFonts w:ascii="Calibri" w:eastAsia="Times New Roman" w:hAnsi="Calibri" w:cs="Calibri"/>
          <w:color w:val="000000"/>
          <w:lang w:eastAsia="en-GB"/>
        </w:rPr>
        <w:t>Steiger’s</w:t>
      </w:r>
      <w:proofErr w:type="spellEnd"/>
      <w:r w:rsidR="00F653F0">
        <w:rPr>
          <w:rFonts w:ascii="Calibri" w:eastAsia="Times New Roman" w:hAnsi="Calibri" w:cs="Calibri"/>
          <w:color w:val="000000"/>
          <w:lang w:eastAsia="en-GB"/>
        </w:rPr>
        <w:t xml:space="preserve"> test was performed to statistically assess whether the </w:t>
      </w:r>
      <w:r w:rsidR="00F653F0">
        <w:rPr>
          <w:rFonts w:ascii="Calibri" w:eastAsia="Times New Roman" w:hAnsi="Calibri" w:cs="Calibri"/>
          <w:color w:val="000000"/>
          <w:lang w:eastAsia="en-GB"/>
        </w:rPr>
        <w:lastRenderedPageBreak/>
        <w:t>correct causal direction had been tested.</w:t>
      </w:r>
      <w:r w:rsidR="00DA58ED">
        <w:rPr>
          <w:rFonts w:ascii="Calibri" w:eastAsia="Times New Roman" w:hAnsi="Calibri" w:cs="Calibri"/>
          <w:color w:val="000000"/>
          <w:lang w:eastAsia="en-GB"/>
        </w:rPr>
        <w:t xml:space="preserve"> NB. A lack of IVs precluded two-sample MR analyses for small vessel stroke.</w:t>
      </w:r>
      <w:r w:rsidR="00D773EF">
        <w:rPr>
          <w:rFonts w:ascii="Calibri" w:eastAsia="Times New Roman" w:hAnsi="Calibri" w:cs="Calibri"/>
          <w:color w:val="000000"/>
          <w:lang w:eastAsia="en-GB"/>
        </w:rPr>
        <w:t xml:space="preserve"> Sensitivity analyses were performed in which the linkage disequilibrium threshold used to prune SNPs was adjusted from r</w:t>
      </w:r>
      <w:r w:rsidR="00D773EF" w:rsidRPr="00D773EF">
        <w:rPr>
          <w:rFonts w:ascii="Calibri" w:eastAsia="Times New Roman" w:hAnsi="Calibri" w:cs="Calibri"/>
          <w:color w:val="000000"/>
          <w:vertAlign w:val="superscript"/>
          <w:lang w:eastAsia="en-GB"/>
        </w:rPr>
        <w:t>2</w:t>
      </w:r>
      <w:r w:rsidR="00D773EF">
        <w:rPr>
          <w:rFonts w:ascii="Calibri" w:eastAsia="Times New Roman" w:hAnsi="Calibri" w:cs="Calibri"/>
          <w:color w:val="000000"/>
          <w:lang w:eastAsia="en-GB"/>
        </w:rPr>
        <w:t xml:space="preserve"> &lt; 0.1 to r</w:t>
      </w:r>
      <w:r w:rsidR="00D773EF" w:rsidRPr="00D773EF">
        <w:rPr>
          <w:rFonts w:ascii="Calibri" w:eastAsia="Times New Roman" w:hAnsi="Calibri" w:cs="Calibri"/>
          <w:color w:val="000000"/>
          <w:vertAlign w:val="superscript"/>
          <w:lang w:eastAsia="en-GB"/>
        </w:rPr>
        <w:t>2</w:t>
      </w:r>
      <w:r w:rsidR="00D773EF">
        <w:rPr>
          <w:rFonts w:ascii="Calibri" w:eastAsia="Times New Roman" w:hAnsi="Calibri" w:cs="Calibri"/>
          <w:color w:val="000000"/>
          <w:lang w:eastAsia="en-GB"/>
        </w:rPr>
        <w:t xml:space="preserve"> &lt; 0.01. The results of the sensitivity analyses are presented alongside the results of the primary analyses. Where the results from the primary analysis met our criteria for significance (IVW p-value &lt; </w:t>
      </w:r>
      <w:r w:rsidR="00273B79">
        <w:rPr>
          <w:rFonts w:ascii="Calibri" w:eastAsia="Times New Roman" w:hAnsi="Calibri" w:cs="Calibri"/>
          <w:color w:val="000000"/>
          <w:lang w:eastAsia="en-GB"/>
        </w:rPr>
        <w:t xml:space="preserve">0.05/number proteins for which the outcome was assessed, no evidence of pleiotropy, and corroboration of the direction of effect from at least two other MR approaches), yellow highlighting indicates the relevant rows. </w:t>
      </w:r>
    </w:p>
    <w:p w:rsidR="008103AC" w:rsidRDefault="008103AC"/>
    <w:sectPr w:rsidR="008103AC" w:rsidSect="00C8734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0AC"/>
    <w:rsid w:val="001410E9"/>
    <w:rsid w:val="00273B79"/>
    <w:rsid w:val="002D319A"/>
    <w:rsid w:val="003B78A0"/>
    <w:rsid w:val="00475AEC"/>
    <w:rsid w:val="00511839"/>
    <w:rsid w:val="00553DC3"/>
    <w:rsid w:val="005B73EA"/>
    <w:rsid w:val="00677E31"/>
    <w:rsid w:val="006D20AC"/>
    <w:rsid w:val="00722874"/>
    <w:rsid w:val="007265D9"/>
    <w:rsid w:val="0078259A"/>
    <w:rsid w:val="007F027D"/>
    <w:rsid w:val="008103AC"/>
    <w:rsid w:val="008A58D1"/>
    <w:rsid w:val="009C2995"/>
    <w:rsid w:val="00A37530"/>
    <w:rsid w:val="00A508DF"/>
    <w:rsid w:val="00B1431E"/>
    <w:rsid w:val="00C8734A"/>
    <w:rsid w:val="00D604B5"/>
    <w:rsid w:val="00D773EF"/>
    <w:rsid w:val="00DA58ED"/>
    <w:rsid w:val="00DA73A6"/>
    <w:rsid w:val="00E61498"/>
    <w:rsid w:val="00E90303"/>
    <w:rsid w:val="00F3192B"/>
    <w:rsid w:val="00F65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96AAA4-D5BF-4465-9FBB-753601BC7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1222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796</Words>
  <Characters>4684</Characters>
  <Application>Microsoft Office Word</Application>
  <DocSecurity>0</DocSecurity>
  <Lines>69</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Rosie</dc:creator>
  <cp:keywords/>
  <dc:description/>
  <cp:lastModifiedBy>Rosie Walker</cp:lastModifiedBy>
  <cp:revision>2</cp:revision>
  <dcterms:created xsi:type="dcterms:W3CDTF">2023-06-05T09:54:00Z</dcterms:created>
  <dcterms:modified xsi:type="dcterms:W3CDTF">2023-06-05T09:54:00Z</dcterms:modified>
</cp:coreProperties>
</file>