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55885" w14:textId="36C04D84" w:rsidR="00F70E2F" w:rsidRPr="00D05EF6" w:rsidRDefault="00F70E2F" w:rsidP="00F70E2F">
      <w:pPr>
        <w:spacing w:line="360" w:lineRule="auto"/>
        <w:ind w:left="360" w:hanging="360"/>
        <w:jc w:val="center"/>
        <w:rPr>
          <w:b/>
          <w:bCs/>
          <w:color w:val="000000" w:themeColor="text1"/>
          <w:sz w:val="30"/>
          <w:szCs w:val="30"/>
        </w:rPr>
      </w:pPr>
      <w:bookmarkStart w:id="0" w:name="_Hlk126068898"/>
      <w:r w:rsidRPr="00D05EF6">
        <w:rPr>
          <w:rFonts w:hint="eastAsia"/>
          <w:b/>
          <w:bCs/>
          <w:color w:val="000000" w:themeColor="text1"/>
          <w:sz w:val="30"/>
          <w:szCs w:val="30"/>
        </w:rPr>
        <w:t>Supp</w:t>
      </w:r>
      <w:r w:rsidRPr="00D05EF6">
        <w:rPr>
          <w:b/>
          <w:bCs/>
          <w:color w:val="000000" w:themeColor="text1"/>
          <w:sz w:val="30"/>
          <w:szCs w:val="30"/>
        </w:rPr>
        <w:t>orting Information</w:t>
      </w:r>
    </w:p>
    <w:bookmarkEnd w:id="0"/>
    <w:p w14:paraId="0A6AA25D" w14:textId="40243D28" w:rsidR="00CE063B" w:rsidRPr="00D05EF6" w:rsidRDefault="00CE063B" w:rsidP="004B5576">
      <w:pPr>
        <w:pStyle w:val="a3"/>
        <w:numPr>
          <w:ilvl w:val="0"/>
          <w:numId w:val="1"/>
        </w:numPr>
        <w:spacing w:beforeLines="50" w:before="156" w:line="360" w:lineRule="auto"/>
        <w:ind w:left="357" w:firstLineChars="0" w:hanging="357"/>
        <w:rPr>
          <w:b/>
          <w:bCs/>
          <w:color w:val="000000" w:themeColor="text1"/>
          <w:sz w:val="24"/>
          <w:szCs w:val="24"/>
        </w:rPr>
      </w:pPr>
      <w:r w:rsidRPr="00D05EF6">
        <w:rPr>
          <w:b/>
          <w:bCs/>
          <w:color w:val="000000" w:themeColor="text1"/>
          <w:sz w:val="24"/>
          <w:szCs w:val="24"/>
        </w:rPr>
        <w:t>Methods and materials</w:t>
      </w:r>
    </w:p>
    <w:p w14:paraId="6BDE5323" w14:textId="6D049065" w:rsidR="00CE063B" w:rsidRPr="00D05EF6" w:rsidRDefault="00CE063B" w:rsidP="00CE063B">
      <w:pPr>
        <w:spacing w:line="360" w:lineRule="auto"/>
        <w:rPr>
          <w:b/>
          <w:bCs/>
          <w:color w:val="000000" w:themeColor="text1"/>
          <w:sz w:val="24"/>
          <w:szCs w:val="24"/>
        </w:rPr>
      </w:pPr>
      <w:r w:rsidRPr="00D05EF6">
        <w:rPr>
          <w:rFonts w:hint="eastAsia"/>
          <w:b/>
          <w:bCs/>
          <w:color w:val="000000" w:themeColor="text1"/>
          <w:sz w:val="24"/>
          <w:szCs w:val="24"/>
        </w:rPr>
        <w:t>1</w:t>
      </w:r>
      <w:r w:rsidRPr="00D05EF6">
        <w:rPr>
          <w:b/>
          <w:bCs/>
          <w:color w:val="000000" w:themeColor="text1"/>
          <w:sz w:val="24"/>
          <w:szCs w:val="24"/>
        </w:rPr>
        <w:t xml:space="preserve">.1 </w:t>
      </w:r>
      <w:r w:rsidR="00326225" w:rsidRPr="00D05EF6">
        <w:rPr>
          <w:b/>
          <w:bCs/>
          <w:color w:val="000000" w:themeColor="text1"/>
          <w:sz w:val="24"/>
          <w:szCs w:val="24"/>
        </w:rPr>
        <w:t>Methods of l</w:t>
      </w:r>
      <w:r w:rsidRPr="00D05EF6">
        <w:rPr>
          <w:b/>
          <w:bCs/>
          <w:color w:val="000000" w:themeColor="text1"/>
          <w:sz w:val="24"/>
          <w:szCs w:val="24"/>
        </w:rPr>
        <w:t>ife table</w:t>
      </w:r>
      <w:r w:rsidR="009A11D8" w:rsidRPr="00D05EF6">
        <w:rPr>
          <w:b/>
          <w:bCs/>
          <w:color w:val="000000" w:themeColor="text1"/>
          <w:sz w:val="24"/>
          <w:szCs w:val="24"/>
        </w:rPr>
        <w:t xml:space="preserve"> </w:t>
      </w:r>
    </w:p>
    <w:p w14:paraId="4B284373" w14:textId="21B9D903" w:rsidR="00CE063B" w:rsidRPr="00D05EF6" w:rsidRDefault="008338D0" w:rsidP="00AC0CDC">
      <w:pPr>
        <w:spacing w:line="360" w:lineRule="auto"/>
        <w:ind w:firstLineChars="200" w:firstLine="480"/>
        <w:rPr>
          <w:color w:val="000000" w:themeColor="text1"/>
          <w:sz w:val="24"/>
          <w:szCs w:val="24"/>
        </w:rPr>
      </w:pPr>
      <w:r w:rsidRPr="00D05EF6">
        <w:rPr>
          <w:color w:val="000000" w:themeColor="text1"/>
          <w:sz w:val="24"/>
          <w:szCs w:val="24"/>
        </w:rPr>
        <w:t>Five w</w:t>
      </w:r>
      <w:r w:rsidR="00CE063B" w:rsidRPr="00D05EF6">
        <w:rPr>
          <w:color w:val="000000" w:themeColor="text1"/>
          <w:sz w:val="24"/>
          <w:szCs w:val="24"/>
        </w:rPr>
        <w:t xml:space="preserve">ingless adults were introduced to </w:t>
      </w:r>
      <w:r w:rsidR="000350F7" w:rsidRPr="00D05EF6">
        <w:rPr>
          <w:color w:val="000000" w:themeColor="text1"/>
          <w:sz w:val="24"/>
          <w:szCs w:val="24"/>
        </w:rPr>
        <w:t xml:space="preserve">a </w:t>
      </w:r>
      <w:r w:rsidR="00CE063B" w:rsidRPr="00D05EF6">
        <w:rPr>
          <w:color w:val="000000" w:themeColor="text1"/>
          <w:sz w:val="24"/>
          <w:szCs w:val="24"/>
        </w:rPr>
        <w:t>cucumber lea</w:t>
      </w:r>
      <w:r w:rsidR="000350F7" w:rsidRPr="00D05EF6">
        <w:rPr>
          <w:color w:val="000000" w:themeColor="text1"/>
          <w:sz w:val="24"/>
          <w:szCs w:val="24"/>
        </w:rPr>
        <w:t xml:space="preserve">f </w:t>
      </w:r>
      <w:r w:rsidR="00C05EA0" w:rsidRPr="00D05EF6">
        <w:rPr>
          <w:color w:val="000000" w:themeColor="text1"/>
          <w:sz w:val="24"/>
          <w:szCs w:val="24"/>
        </w:rPr>
        <w:t>of</w:t>
      </w:r>
      <w:r w:rsidR="000350F7" w:rsidRPr="00D05EF6">
        <w:rPr>
          <w:color w:val="000000" w:themeColor="text1"/>
          <w:sz w:val="24"/>
          <w:szCs w:val="24"/>
        </w:rPr>
        <w:t xml:space="preserve"> different treatment</w:t>
      </w:r>
      <w:r w:rsidR="00C05EA0" w:rsidRPr="00D05EF6">
        <w:rPr>
          <w:color w:val="000000" w:themeColor="text1"/>
          <w:sz w:val="24"/>
          <w:szCs w:val="24"/>
        </w:rPr>
        <w:t>s</w:t>
      </w:r>
      <w:r w:rsidR="00CE063B" w:rsidRPr="00D05EF6">
        <w:rPr>
          <w:color w:val="000000" w:themeColor="text1"/>
          <w:sz w:val="24"/>
          <w:szCs w:val="24"/>
        </w:rPr>
        <w:t xml:space="preserve"> </w:t>
      </w:r>
      <w:r w:rsidR="00C05EA0" w:rsidRPr="00D05EF6">
        <w:rPr>
          <w:color w:val="000000" w:themeColor="text1"/>
          <w:sz w:val="24"/>
          <w:szCs w:val="24"/>
        </w:rPr>
        <w:t>to give birth to nymphs</w:t>
      </w:r>
      <w:r w:rsidR="00CE063B" w:rsidRPr="00D05EF6">
        <w:rPr>
          <w:color w:val="000000" w:themeColor="text1"/>
          <w:sz w:val="24"/>
          <w:szCs w:val="24"/>
        </w:rPr>
        <w:t xml:space="preserve">, and were removed after 12 h, leaving ten newborn nymphs on </w:t>
      </w:r>
      <w:r w:rsidR="004F3DAE" w:rsidRPr="00D05EF6">
        <w:rPr>
          <w:color w:val="000000" w:themeColor="text1"/>
          <w:sz w:val="24"/>
          <w:szCs w:val="24"/>
        </w:rPr>
        <w:t>a</w:t>
      </w:r>
      <w:r w:rsidRPr="00D05EF6">
        <w:rPr>
          <w:color w:val="000000" w:themeColor="text1"/>
          <w:sz w:val="24"/>
          <w:szCs w:val="24"/>
        </w:rPr>
        <w:t xml:space="preserve"> leaf</w:t>
      </w:r>
      <w:r w:rsidR="00CE063B" w:rsidRPr="00D05EF6">
        <w:rPr>
          <w:color w:val="000000" w:themeColor="text1"/>
          <w:sz w:val="24"/>
          <w:szCs w:val="24"/>
        </w:rPr>
        <w:t xml:space="preserve">. </w:t>
      </w:r>
      <w:r w:rsidR="000C05C3" w:rsidRPr="00D05EF6">
        <w:rPr>
          <w:color w:val="000000" w:themeColor="text1"/>
          <w:sz w:val="24"/>
          <w:szCs w:val="24"/>
        </w:rPr>
        <w:t>T</w:t>
      </w:r>
      <w:r w:rsidR="00C05EA0" w:rsidRPr="00D05EF6">
        <w:rPr>
          <w:color w:val="000000" w:themeColor="text1"/>
          <w:sz w:val="24"/>
          <w:szCs w:val="24"/>
        </w:rPr>
        <w:t xml:space="preserve">he leaf petiole was wrapped with a wet cotton ball to maintain moisture, </w:t>
      </w:r>
      <w:r w:rsidR="002C3640" w:rsidRPr="00D05EF6">
        <w:rPr>
          <w:color w:val="000000" w:themeColor="text1"/>
          <w:sz w:val="24"/>
          <w:szCs w:val="24"/>
        </w:rPr>
        <w:t>and</w:t>
      </w:r>
      <w:r w:rsidR="00CE063B" w:rsidRPr="00D05EF6">
        <w:rPr>
          <w:color w:val="000000" w:themeColor="text1"/>
          <w:sz w:val="24"/>
          <w:szCs w:val="24"/>
        </w:rPr>
        <w:t xml:space="preserve"> was placed in a Petri dish (</w:t>
      </w:r>
      <w:r w:rsidR="00CE063B" w:rsidRPr="00D05EF6">
        <w:rPr>
          <w:rFonts w:ascii="Cambria" w:hAnsi="Cambria" w:cs="Cambria"/>
          <w:color w:val="000000" w:themeColor="text1"/>
          <w:sz w:val="24"/>
          <w:szCs w:val="24"/>
        </w:rPr>
        <w:t>ϕ</w:t>
      </w:r>
      <w:r w:rsidR="00CE063B" w:rsidRPr="00D05EF6">
        <w:rPr>
          <w:color w:val="000000" w:themeColor="text1"/>
          <w:sz w:val="24"/>
          <w:szCs w:val="24"/>
        </w:rPr>
        <w:t>1</w:t>
      </w:r>
      <w:r w:rsidR="00C05EA0" w:rsidRPr="00D05EF6">
        <w:rPr>
          <w:color w:val="000000" w:themeColor="text1"/>
          <w:sz w:val="24"/>
          <w:szCs w:val="24"/>
        </w:rPr>
        <w:t>5</w:t>
      </w:r>
      <w:r w:rsidR="00CE063B" w:rsidRPr="00D05EF6">
        <w:rPr>
          <w:color w:val="000000" w:themeColor="text1"/>
          <w:sz w:val="24"/>
          <w:szCs w:val="24"/>
        </w:rPr>
        <w:t xml:space="preserve"> cm) filled with 20-ml 2% agar gel, and was cultured in a climatic chamber under 20±2°C and 16L:8D photoperiod. The nymphs were observed for survival and reproduction every day until they died.</w:t>
      </w:r>
      <w:r w:rsidR="007B56ED" w:rsidRPr="00D05EF6">
        <w:rPr>
          <w:color w:val="000000" w:themeColor="text1"/>
          <w:sz w:val="24"/>
          <w:szCs w:val="24"/>
        </w:rPr>
        <w:t xml:space="preserve"> </w:t>
      </w:r>
      <w:r w:rsidR="00454151" w:rsidRPr="00D05EF6">
        <w:rPr>
          <w:color w:val="000000" w:themeColor="text1"/>
          <w:sz w:val="24"/>
          <w:szCs w:val="24"/>
        </w:rPr>
        <w:t xml:space="preserve">Their offspring were </w:t>
      </w:r>
      <w:r w:rsidR="004F3DAE" w:rsidRPr="00D05EF6">
        <w:rPr>
          <w:color w:val="000000" w:themeColor="text1"/>
          <w:sz w:val="24"/>
          <w:szCs w:val="24"/>
        </w:rPr>
        <w:t xml:space="preserve">counted and </w:t>
      </w:r>
      <w:r w:rsidR="00454151" w:rsidRPr="00D05EF6">
        <w:rPr>
          <w:color w:val="000000" w:themeColor="text1"/>
          <w:sz w:val="24"/>
          <w:szCs w:val="24"/>
        </w:rPr>
        <w:t xml:space="preserve">removed from the leaves in daily observation. </w:t>
      </w:r>
      <w:r w:rsidR="00CE063B" w:rsidRPr="00D05EF6">
        <w:rPr>
          <w:color w:val="000000" w:themeColor="text1"/>
          <w:sz w:val="24"/>
          <w:szCs w:val="24"/>
        </w:rPr>
        <w:t xml:space="preserve">Each life table replicated 40 aphids (4 Petri dishes, each containing 10 aphids). The </w:t>
      </w:r>
      <w:r w:rsidR="007B56ED" w:rsidRPr="00D05EF6">
        <w:rPr>
          <w:color w:val="000000" w:themeColor="text1"/>
          <w:sz w:val="24"/>
          <w:szCs w:val="24"/>
        </w:rPr>
        <w:t>nymphs</w:t>
      </w:r>
      <w:r w:rsidR="00CE063B" w:rsidRPr="00D05EF6">
        <w:rPr>
          <w:color w:val="000000" w:themeColor="text1"/>
          <w:sz w:val="24"/>
          <w:szCs w:val="24"/>
        </w:rPr>
        <w:t xml:space="preserve"> were measured for body length and body weight </w:t>
      </w:r>
      <w:r w:rsidR="00AC0CDC" w:rsidRPr="00D05EF6">
        <w:rPr>
          <w:color w:val="000000" w:themeColor="text1"/>
          <w:sz w:val="24"/>
          <w:szCs w:val="24"/>
        </w:rPr>
        <w:t>when 7-d old</w:t>
      </w:r>
      <w:r w:rsidR="00CE063B" w:rsidRPr="00D05EF6">
        <w:rPr>
          <w:color w:val="000000" w:themeColor="text1"/>
          <w:sz w:val="24"/>
          <w:szCs w:val="24"/>
        </w:rPr>
        <w:t>, with 30 measurements per treatments.</w:t>
      </w:r>
    </w:p>
    <w:p w14:paraId="62B0759B" w14:textId="0DE53AF6" w:rsidR="00CE063B" w:rsidRPr="00D05EF6" w:rsidRDefault="00F703ED" w:rsidP="00CE063B">
      <w:pPr>
        <w:spacing w:line="360" w:lineRule="auto"/>
        <w:rPr>
          <w:b/>
          <w:bCs/>
          <w:color w:val="000000" w:themeColor="text1"/>
          <w:sz w:val="24"/>
          <w:szCs w:val="24"/>
        </w:rPr>
      </w:pPr>
      <w:r w:rsidRPr="00D05EF6">
        <w:rPr>
          <w:b/>
          <w:bCs/>
          <w:color w:val="000000" w:themeColor="text1"/>
          <w:sz w:val="24"/>
          <w:szCs w:val="24"/>
        </w:rPr>
        <w:t xml:space="preserve">1.2 Methods of </w:t>
      </w:r>
      <w:r w:rsidR="00CE063B" w:rsidRPr="00D05EF6">
        <w:rPr>
          <w:b/>
          <w:bCs/>
          <w:color w:val="000000" w:themeColor="text1"/>
          <w:sz w:val="24"/>
          <w:szCs w:val="24"/>
        </w:rPr>
        <w:t>EPG</w:t>
      </w:r>
    </w:p>
    <w:p w14:paraId="3F20D4A7" w14:textId="2DF30400" w:rsidR="00533AA5" w:rsidRPr="00D05EF6" w:rsidRDefault="00AC0CDC" w:rsidP="00AC0CDC">
      <w:pPr>
        <w:spacing w:line="360" w:lineRule="auto"/>
        <w:ind w:firstLineChars="200" w:firstLine="480"/>
        <w:rPr>
          <w:color w:val="000000" w:themeColor="text1"/>
          <w:sz w:val="24"/>
          <w:szCs w:val="24"/>
        </w:rPr>
      </w:pPr>
      <w:r w:rsidRPr="00D05EF6">
        <w:rPr>
          <w:color w:val="000000" w:themeColor="text1"/>
          <w:sz w:val="24"/>
          <w:szCs w:val="24"/>
        </w:rPr>
        <w:t>A c</w:t>
      </w:r>
      <w:r w:rsidR="00CE063B" w:rsidRPr="00D05EF6">
        <w:rPr>
          <w:color w:val="000000" w:themeColor="text1"/>
          <w:sz w:val="24"/>
          <w:szCs w:val="24"/>
        </w:rPr>
        <w:t xml:space="preserve">ucumber plants and </w:t>
      </w:r>
      <w:r w:rsidRPr="00D05EF6">
        <w:rPr>
          <w:color w:val="000000" w:themeColor="text1"/>
          <w:sz w:val="24"/>
          <w:szCs w:val="24"/>
        </w:rPr>
        <w:t xml:space="preserve">an </w:t>
      </w:r>
      <w:r w:rsidR="00CE063B" w:rsidRPr="00D05EF6">
        <w:rPr>
          <w:color w:val="000000" w:themeColor="text1"/>
          <w:sz w:val="24"/>
          <w:szCs w:val="24"/>
        </w:rPr>
        <w:t xml:space="preserve">aphid were made parts of an electrical circuit in the EPG system. An electrode attached to a gold wire (diameter 20 </w:t>
      </w:r>
      <w:proofErr w:type="spellStart"/>
      <w:r w:rsidR="00CE063B" w:rsidRPr="00D05EF6">
        <w:rPr>
          <w:color w:val="000000" w:themeColor="text1"/>
          <w:sz w:val="24"/>
          <w:szCs w:val="24"/>
        </w:rPr>
        <w:t>μm</w:t>
      </w:r>
      <w:proofErr w:type="spellEnd"/>
      <w:r w:rsidR="00CE063B" w:rsidRPr="00D05EF6">
        <w:rPr>
          <w:color w:val="000000" w:themeColor="text1"/>
          <w:sz w:val="24"/>
          <w:szCs w:val="24"/>
        </w:rPr>
        <w:t xml:space="preserve">) was inserted into soil of a pot growing a cucumber plant, and the other end of the gold wire was attached to dorsum </w:t>
      </w:r>
      <w:r w:rsidR="00F65993" w:rsidRPr="00D05EF6">
        <w:rPr>
          <w:color w:val="000000" w:themeColor="text1"/>
          <w:sz w:val="24"/>
          <w:szCs w:val="24"/>
        </w:rPr>
        <w:t xml:space="preserve">of an aphid </w:t>
      </w:r>
      <w:r w:rsidR="00CE063B" w:rsidRPr="00D05EF6">
        <w:rPr>
          <w:color w:val="000000" w:themeColor="text1"/>
          <w:sz w:val="24"/>
          <w:szCs w:val="24"/>
        </w:rPr>
        <w:t xml:space="preserve">using an electric-conducting glue. When the aphid </w:t>
      </w:r>
      <w:r w:rsidR="00F703ED" w:rsidRPr="00D05EF6">
        <w:rPr>
          <w:color w:val="000000" w:themeColor="text1"/>
          <w:sz w:val="24"/>
          <w:szCs w:val="24"/>
        </w:rPr>
        <w:t xml:space="preserve">stylet </w:t>
      </w:r>
      <w:r w:rsidR="00CE063B" w:rsidRPr="00D05EF6">
        <w:rPr>
          <w:color w:val="000000" w:themeColor="text1"/>
          <w:sz w:val="24"/>
          <w:szCs w:val="24"/>
        </w:rPr>
        <w:t>start</w:t>
      </w:r>
      <w:r w:rsidR="004F3DAE" w:rsidRPr="00D05EF6">
        <w:rPr>
          <w:color w:val="000000" w:themeColor="text1"/>
          <w:sz w:val="24"/>
          <w:szCs w:val="24"/>
        </w:rPr>
        <w:t>ing</w:t>
      </w:r>
      <w:r w:rsidR="00CE063B" w:rsidRPr="00D05EF6">
        <w:rPr>
          <w:color w:val="000000" w:themeColor="text1"/>
          <w:sz w:val="24"/>
          <w:szCs w:val="24"/>
        </w:rPr>
        <w:t xml:space="preserve"> probing, the circuit was </w:t>
      </w:r>
      <w:r w:rsidR="00F703ED" w:rsidRPr="00D05EF6">
        <w:rPr>
          <w:color w:val="000000" w:themeColor="text1"/>
          <w:sz w:val="24"/>
          <w:szCs w:val="24"/>
        </w:rPr>
        <w:t>connected</w:t>
      </w:r>
      <w:r w:rsidR="00CE063B" w:rsidRPr="00D05EF6">
        <w:rPr>
          <w:color w:val="000000" w:themeColor="text1"/>
          <w:sz w:val="24"/>
          <w:szCs w:val="24"/>
        </w:rPr>
        <w:t>, and electrical signals were generated (</w:t>
      </w:r>
      <w:proofErr w:type="spellStart"/>
      <w:r w:rsidR="00CE063B" w:rsidRPr="00D05EF6">
        <w:rPr>
          <w:color w:val="000000" w:themeColor="text1"/>
          <w:sz w:val="24"/>
          <w:szCs w:val="24"/>
        </w:rPr>
        <w:t>Tjallingii</w:t>
      </w:r>
      <w:proofErr w:type="spellEnd"/>
      <w:r w:rsidR="00CE063B" w:rsidRPr="00D05EF6">
        <w:rPr>
          <w:color w:val="000000" w:themeColor="text1"/>
          <w:sz w:val="24"/>
          <w:szCs w:val="24"/>
        </w:rPr>
        <w:t xml:space="preserve"> and </w:t>
      </w:r>
      <w:proofErr w:type="spellStart"/>
      <w:r w:rsidR="00CE063B" w:rsidRPr="00D05EF6">
        <w:rPr>
          <w:color w:val="000000" w:themeColor="text1"/>
          <w:sz w:val="24"/>
          <w:szCs w:val="24"/>
        </w:rPr>
        <w:t>Esch</w:t>
      </w:r>
      <w:proofErr w:type="spellEnd"/>
      <w:r w:rsidR="00CE063B" w:rsidRPr="00D05EF6">
        <w:rPr>
          <w:color w:val="000000" w:themeColor="text1"/>
          <w:sz w:val="24"/>
          <w:szCs w:val="24"/>
        </w:rPr>
        <w:t xml:space="preserve">, 1993). </w:t>
      </w:r>
      <w:r w:rsidR="00F65993" w:rsidRPr="00D05EF6">
        <w:rPr>
          <w:color w:val="000000" w:themeColor="text1"/>
          <w:sz w:val="24"/>
          <w:szCs w:val="24"/>
        </w:rPr>
        <w:t>After starving for 2 h, 7</w:t>
      </w:r>
      <w:r w:rsidR="00533AA5" w:rsidRPr="00D05EF6">
        <w:rPr>
          <w:color w:val="000000" w:themeColor="text1"/>
          <w:sz w:val="24"/>
          <w:szCs w:val="24"/>
        </w:rPr>
        <w:t xml:space="preserve">-d-old aphids were monitored </w:t>
      </w:r>
      <w:r w:rsidR="00F65993" w:rsidRPr="00D05EF6">
        <w:rPr>
          <w:color w:val="000000" w:themeColor="text1"/>
          <w:sz w:val="24"/>
          <w:szCs w:val="24"/>
        </w:rPr>
        <w:t>in the</w:t>
      </w:r>
      <w:r w:rsidR="00533AA5" w:rsidRPr="00D05EF6">
        <w:rPr>
          <w:color w:val="000000" w:themeColor="text1"/>
          <w:sz w:val="24"/>
          <w:szCs w:val="24"/>
        </w:rPr>
        <w:t xml:space="preserve"> EPG </w:t>
      </w:r>
      <w:r w:rsidR="00F65993" w:rsidRPr="00D05EF6">
        <w:rPr>
          <w:color w:val="000000" w:themeColor="text1"/>
          <w:sz w:val="24"/>
          <w:szCs w:val="24"/>
        </w:rPr>
        <w:t xml:space="preserve">system </w:t>
      </w:r>
      <w:r w:rsidR="00533AA5" w:rsidRPr="00D05EF6">
        <w:rPr>
          <w:color w:val="000000" w:themeColor="text1"/>
          <w:sz w:val="24"/>
          <w:szCs w:val="24"/>
        </w:rPr>
        <w:t xml:space="preserve">under 22 ± 2°C. Each treatment included </w:t>
      </w:r>
      <w:r w:rsidR="00F65993" w:rsidRPr="00D05EF6">
        <w:rPr>
          <w:color w:val="000000" w:themeColor="text1"/>
          <w:sz w:val="24"/>
          <w:szCs w:val="24"/>
        </w:rPr>
        <w:t>more than</w:t>
      </w:r>
      <w:r w:rsidR="00533AA5" w:rsidRPr="00D05EF6">
        <w:rPr>
          <w:color w:val="000000" w:themeColor="text1"/>
          <w:sz w:val="24"/>
          <w:szCs w:val="24"/>
        </w:rPr>
        <w:t xml:space="preserve"> 15 successful recordings lasting for 10 h. Six</w:t>
      </w:r>
      <w:r w:rsidR="00CE063B" w:rsidRPr="00D05EF6">
        <w:rPr>
          <w:color w:val="000000" w:themeColor="text1"/>
          <w:sz w:val="24"/>
          <w:szCs w:val="24"/>
        </w:rPr>
        <w:t xml:space="preserve"> EPG waveforms </w:t>
      </w:r>
      <w:r w:rsidR="00533AA5" w:rsidRPr="00D05EF6">
        <w:rPr>
          <w:color w:val="000000" w:themeColor="text1"/>
          <w:sz w:val="24"/>
          <w:szCs w:val="24"/>
        </w:rPr>
        <w:lastRenderedPageBreak/>
        <w:t>were recorded</w:t>
      </w:r>
      <w:r w:rsidR="00F65993" w:rsidRPr="00D05EF6">
        <w:rPr>
          <w:color w:val="000000" w:themeColor="text1"/>
          <w:sz w:val="24"/>
          <w:szCs w:val="24"/>
        </w:rPr>
        <w:t xml:space="preserve"> and analyzed</w:t>
      </w:r>
      <w:r w:rsidR="00CE063B" w:rsidRPr="00D05EF6">
        <w:rPr>
          <w:color w:val="000000" w:themeColor="text1"/>
          <w:sz w:val="24"/>
          <w:szCs w:val="24"/>
        </w:rPr>
        <w:t xml:space="preserve">: np waveform, </w:t>
      </w:r>
      <w:r w:rsidR="004F3DAE" w:rsidRPr="00D05EF6">
        <w:rPr>
          <w:color w:val="000000" w:themeColor="text1"/>
          <w:sz w:val="24"/>
          <w:szCs w:val="24"/>
        </w:rPr>
        <w:t xml:space="preserve">representing </w:t>
      </w:r>
      <w:r w:rsidR="00CE063B" w:rsidRPr="00D05EF6">
        <w:rPr>
          <w:color w:val="000000" w:themeColor="text1"/>
          <w:sz w:val="24"/>
          <w:szCs w:val="24"/>
        </w:rPr>
        <w:t xml:space="preserve">non-probing behavior (stylet </w:t>
      </w:r>
      <w:r w:rsidR="00533AA5" w:rsidRPr="00D05EF6">
        <w:rPr>
          <w:color w:val="000000" w:themeColor="text1"/>
          <w:sz w:val="24"/>
          <w:szCs w:val="24"/>
        </w:rPr>
        <w:t xml:space="preserve">not </w:t>
      </w:r>
      <w:r w:rsidR="00CE063B" w:rsidRPr="00D05EF6">
        <w:rPr>
          <w:color w:val="000000" w:themeColor="text1"/>
          <w:sz w:val="24"/>
          <w:szCs w:val="24"/>
        </w:rPr>
        <w:t>contact</w:t>
      </w:r>
      <w:r w:rsidR="00533AA5" w:rsidRPr="00D05EF6">
        <w:rPr>
          <w:color w:val="000000" w:themeColor="text1"/>
          <w:sz w:val="24"/>
          <w:szCs w:val="24"/>
        </w:rPr>
        <w:t>ing</w:t>
      </w:r>
      <w:r w:rsidR="00CE063B" w:rsidRPr="00D05EF6">
        <w:rPr>
          <w:color w:val="000000" w:themeColor="text1"/>
          <w:sz w:val="24"/>
          <w:szCs w:val="24"/>
        </w:rPr>
        <w:t xml:space="preserve"> with the leaf tissue</w:t>
      </w:r>
      <w:r w:rsidR="00533AA5" w:rsidRPr="00D05EF6">
        <w:rPr>
          <w:color w:val="000000" w:themeColor="text1"/>
          <w:sz w:val="24"/>
          <w:szCs w:val="24"/>
        </w:rPr>
        <w:t>s</w:t>
      </w:r>
      <w:r w:rsidR="00CE063B" w:rsidRPr="00D05EF6">
        <w:rPr>
          <w:color w:val="000000" w:themeColor="text1"/>
          <w:sz w:val="24"/>
          <w:szCs w:val="24"/>
        </w:rPr>
        <w:t>); C waveform, representing the stylet contacting with the epidermis and penetrating the epidermis and mesophyll cells (stylet pathway phase); G waveform, representing active sap ingestion from xylem elements (xylem ingestion phase); E1 waveform, representing secretion of watery saliva into the phloem (phloem salivation phase); E2 waveform, representing passive phloem sap ingestion from the sieve element (phloem ingestion phase).</w:t>
      </w:r>
      <w:r w:rsidR="00F703ED" w:rsidRPr="00D05EF6">
        <w:rPr>
          <w:color w:val="000000" w:themeColor="text1"/>
          <w:sz w:val="24"/>
          <w:szCs w:val="24"/>
        </w:rPr>
        <w:t xml:space="preserve"> </w:t>
      </w:r>
    </w:p>
    <w:p w14:paraId="67E08297" w14:textId="02BB829F" w:rsidR="00704574" w:rsidRPr="00D05EF6" w:rsidRDefault="0077291A" w:rsidP="00533AA5">
      <w:pPr>
        <w:spacing w:line="360" w:lineRule="auto"/>
        <w:rPr>
          <w:rFonts w:ascii="Times New Roman" w:hAnsi="Times New Roman" w:cs="Times New Roman"/>
          <w:b/>
          <w:bCs/>
          <w:color w:val="000000" w:themeColor="text1"/>
          <w:sz w:val="24"/>
          <w:szCs w:val="24"/>
        </w:rPr>
      </w:pPr>
      <w:r w:rsidRPr="00D05EF6">
        <w:rPr>
          <w:b/>
          <w:bCs/>
          <w:color w:val="000000" w:themeColor="text1"/>
          <w:sz w:val="24"/>
          <w:szCs w:val="24"/>
        </w:rPr>
        <w:t xml:space="preserve">1.3 </w:t>
      </w:r>
      <w:r w:rsidR="00326225" w:rsidRPr="00D05EF6">
        <w:rPr>
          <w:b/>
          <w:bCs/>
          <w:color w:val="000000" w:themeColor="text1"/>
          <w:sz w:val="24"/>
          <w:szCs w:val="24"/>
        </w:rPr>
        <w:t>Methods of w</w:t>
      </w:r>
      <w:r w:rsidR="00704574" w:rsidRPr="00D05EF6">
        <w:rPr>
          <w:b/>
          <w:bCs/>
          <w:color w:val="000000" w:themeColor="text1"/>
          <w:sz w:val="24"/>
          <w:szCs w:val="24"/>
        </w:rPr>
        <w:t>idely-targeted metabolomics analysis</w:t>
      </w:r>
    </w:p>
    <w:p w14:paraId="609CC0D0" w14:textId="069F50C8" w:rsidR="007A1441" w:rsidRPr="00D05EF6" w:rsidRDefault="007A1441" w:rsidP="00704574">
      <w:pPr>
        <w:spacing w:line="360" w:lineRule="auto"/>
        <w:ind w:firstLineChars="200" w:firstLine="480"/>
        <w:rPr>
          <w:color w:val="000000" w:themeColor="text1"/>
          <w:sz w:val="24"/>
          <w:szCs w:val="24"/>
        </w:rPr>
      </w:pPr>
      <w:r w:rsidRPr="00D05EF6">
        <w:rPr>
          <w:color w:val="000000" w:themeColor="text1"/>
          <w:sz w:val="24"/>
          <w:szCs w:val="24"/>
        </w:rPr>
        <w:t>Cucumber leaves that had been infested for 0 d (</w:t>
      </w:r>
      <w:proofErr w:type="spellStart"/>
      <w:r w:rsidRPr="00D05EF6">
        <w:rPr>
          <w:color w:val="000000" w:themeColor="text1"/>
          <w:sz w:val="24"/>
          <w:szCs w:val="24"/>
        </w:rPr>
        <w:t>uninfested</w:t>
      </w:r>
      <w:proofErr w:type="spellEnd"/>
      <w:r w:rsidRPr="00D05EF6">
        <w:rPr>
          <w:color w:val="000000" w:themeColor="text1"/>
          <w:sz w:val="24"/>
          <w:szCs w:val="24"/>
        </w:rPr>
        <w:t>)</w:t>
      </w:r>
      <w:r w:rsidR="006C1728" w:rsidRPr="00D05EF6">
        <w:rPr>
          <w:color w:val="000000" w:themeColor="text1"/>
          <w:sz w:val="24"/>
          <w:szCs w:val="24"/>
        </w:rPr>
        <w:t>,</w:t>
      </w:r>
      <w:r w:rsidRPr="00D05EF6">
        <w:rPr>
          <w:color w:val="000000" w:themeColor="text1"/>
          <w:sz w:val="24"/>
          <w:szCs w:val="24"/>
        </w:rPr>
        <w:t xml:space="preserve"> 2 d and 14 d were freeze-dried using vacuum freeze-dryer (GOLD-SIM) (SIM International Group, California, USA).</w:t>
      </w:r>
      <w:r w:rsidR="006C1728" w:rsidRPr="00D05EF6">
        <w:rPr>
          <w:color w:val="000000" w:themeColor="text1"/>
          <w:sz w:val="24"/>
          <w:szCs w:val="24"/>
        </w:rPr>
        <w:t xml:space="preserve"> The freeze-dried samples were ground (30 Hz, 1.5 min) to powder with a grinder (MM 400, </w:t>
      </w:r>
      <w:proofErr w:type="spellStart"/>
      <w:r w:rsidR="006C1728" w:rsidRPr="00D05EF6">
        <w:rPr>
          <w:color w:val="000000" w:themeColor="text1"/>
          <w:sz w:val="24"/>
          <w:szCs w:val="24"/>
        </w:rPr>
        <w:t>Retsch</w:t>
      </w:r>
      <w:proofErr w:type="spellEnd"/>
      <w:r w:rsidR="006C1728" w:rsidRPr="00D05EF6">
        <w:rPr>
          <w:color w:val="000000" w:themeColor="text1"/>
          <w:sz w:val="24"/>
          <w:szCs w:val="24"/>
        </w:rPr>
        <w:t xml:space="preserve">). A total of 100 mg of leaf powder was dissolved in 1.0 ml 70% aqueous methanol, then </w:t>
      </w:r>
      <w:r w:rsidR="009E04EA" w:rsidRPr="00D05EF6">
        <w:rPr>
          <w:color w:val="000000" w:themeColor="text1"/>
          <w:sz w:val="24"/>
          <w:szCs w:val="24"/>
        </w:rPr>
        <w:t>kept</w:t>
      </w:r>
      <w:r w:rsidR="006C1728" w:rsidRPr="00D05EF6">
        <w:rPr>
          <w:color w:val="000000" w:themeColor="text1"/>
          <w:sz w:val="24"/>
          <w:szCs w:val="24"/>
        </w:rPr>
        <w:t xml:space="preserve"> at 4 °C overnight</w:t>
      </w:r>
      <w:r w:rsidR="009E04EA" w:rsidRPr="00D05EF6">
        <w:rPr>
          <w:color w:val="000000" w:themeColor="text1"/>
          <w:sz w:val="24"/>
          <w:szCs w:val="24"/>
        </w:rPr>
        <w:t>, and during this process the samples were</w:t>
      </w:r>
      <w:r w:rsidR="006C1728" w:rsidRPr="00D05EF6">
        <w:rPr>
          <w:color w:val="000000" w:themeColor="text1"/>
          <w:sz w:val="24"/>
          <w:szCs w:val="24"/>
        </w:rPr>
        <w:t xml:space="preserve"> vortexed three times to improve the extraction rate. After centrifugation (10,000 g for 10 min), the extracts were absorbed to remove the impurities (CNWBOND Carbon-GCB SPE Cartridge, 250 mg, 3 ml; ANPEL, Shanghai, China, www.anpel.com.cn/cnw), filtrated (SCAA-104, 0.22 </w:t>
      </w:r>
      <w:proofErr w:type="spellStart"/>
      <w:r w:rsidR="006C1728" w:rsidRPr="00D05EF6">
        <w:rPr>
          <w:color w:val="000000" w:themeColor="text1"/>
          <w:sz w:val="24"/>
          <w:szCs w:val="24"/>
        </w:rPr>
        <w:t>μm</w:t>
      </w:r>
      <w:proofErr w:type="spellEnd"/>
      <w:r w:rsidR="006C1728" w:rsidRPr="00D05EF6">
        <w:rPr>
          <w:color w:val="000000" w:themeColor="text1"/>
          <w:sz w:val="24"/>
          <w:szCs w:val="24"/>
        </w:rPr>
        <w:t xml:space="preserve"> pore size; ANPEL, Shanghai, China,</w:t>
      </w:r>
      <w:r w:rsidR="009E04EA" w:rsidRPr="00D05EF6">
        <w:rPr>
          <w:color w:val="000000" w:themeColor="text1"/>
          <w:sz w:val="24"/>
          <w:szCs w:val="24"/>
        </w:rPr>
        <w:t xml:space="preserve"> http://www.anpel.com.cn/), and stored at</w:t>
      </w:r>
      <w:r w:rsidR="009E04EA" w:rsidRPr="00D05EF6">
        <w:rPr>
          <w:rFonts w:ascii="微软雅黑" w:eastAsia="微软雅黑" w:hAnsi="微软雅黑" w:cs="微软雅黑" w:hint="eastAsia"/>
          <w:color w:val="000000" w:themeColor="text1"/>
          <w:sz w:val="24"/>
          <w:szCs w:val="24"/>
        </w:rPr>
        <w:t xml:space="preserve"> </w:t>
      </w:r>
      <w:r w:rsidR="009E04EA" w:rsidRPr="00D05EF6">
        <w:rPr>
          <w:rFonts w:ascii="微软雅黑" w:eastAsia="微软雅黑" w:hAnsi="微软雅黑" w:cs="微软雅黑"/>
          <w:color w:val="000000" w:themeColor="text1"/>
          <w:sz w:val="24"/>
          <w:szCs w:val="24"/>
        </w:rPr>
        <w:t>-</w:t>
      </w:r>
      <w:r w:rsidR="009E04EA" w:rsidRPr="00D05EF6">
        <w:rPr>
          <w:color w:val="000000" w:themeColor="text1"/>
          <w:sz w:val="24"/>
          <w:szCs w:val="24"/>
        </w:rPr>
        <w:t>20</w:t>
      </w:r>
      <w:r w:rsidR="009E04EA" w:rsidRPr="00D05EF6">
        <w:rPr>
          <w:rFonts w:ascii="等线" w:eastAsia="等线" w:hAnsi="等线" w:cs="等线" w:hint="eastAsia"/>
          <w:color w:val="000000" w:themeColor="text1"/>
          <w:sz w:val="24"/>
          <w:szCs w:val="24"/>
        </w:rPr>
        <w:t>°</w:t>
      </w:r>
      <w:r w:rsidR="009E04EA" w:rsidRPr="00D05EF6">
        <w:rPr>
          <w:color w:val="000000" w:themeColor="text1"/>
          <w:sz w:val="24"/>
          <w:szCs w:val="24"/>
        </w:rPr>
        <w:t xml:space="preserve">C in the sample bottle for </w:t>
      </w:r>
      <w:r w:rsidR="00A84E25" w:rsidRPr="00D05EF6">
        <w:rPr>
          <w:color w:val="000000" w:themeColor="text1"/>
          <w:sz w:val="24"/>
          <w:szCs w:val="24"/>
        </w:rPr>
        <w:t>ultra-performance liquid chromatograph-electro-spray ionization-tandem mass spectrometer (UPLC-ESI-MS/MS) analysis</w:t>
      </w:r>
      <w:r w:rsidR="009E04EA" w:rsidRPr="00D05EF6">
        <w:rPr>
          <w:color w:val="000000" w:themeColor="text1"/>
          <w:sz w:val="24"/>
          <w:szCs w:val="24"/>
        </w:rPr>
        <w:t>. Quality control (QC) samples were prepared by mixing extracts of different treatments.</w:t>
      </w:r>
    </w:p>
    <w:p w14:paraId="14EE96C9" w14:textId="77777777" w:rsidR="00A84E25" w:rsidRPr="00D05EF6" w:rsidRDefault="00A84E25" w:rsidP="00704574">
      <w:pPr>
        <w:spacing w:line="360" w:lineRule="auto"/>
        <w:ind w:firstLineChars="200" w:firstLine="480"/>
        <w:rPr>
          <w:color w:val="000000" w:themeColor="text1"/>
          <w:sz w:val="24"/>
          <w:szCs w:val="24"/>
        </w:rPr>
      </w:pPr>
      <w:r w:rsidRPr="00D05EF6">
        <w:rPr>
          <w:color w:val="000000" w:themeColor="text1"/>
          <w:sz w:val="24"/>
          <w:szCs w:val="24"/>
        </w:rPr>
        <w:t xml:space="preserve">The analytical conditions were as follows: UPLC was performed on Agilent </w:t>
      </w:r>
      <w:r w:rsidRPr="00D05EF6">
        <w:rPr>
          <w:color w:val="000000" w:themeColor="text1"/>
          <w:sz w:val="24"/>
          <w:szCs w:val="24"/>
        </w:rPr>
        <w:lastRenderedPageBreak/>
        <w:t xml:space="preserve">SB-C18 column (1.8 µm, 2.1 mm × 100 mm) using pure water with 0.1% formic acid as solvent A, and acetonitrile with 0.1% formic acid as solvent B. Sample measurements were performed with a gradient program that employed the starting conditions of 95% A, 5% B. Within 9 min, a linear gradient to 5% A, 95% B was programmed, and a composition of 5% A, 95% B was kept for 1 min. Subsequently, a composition of 95% A, 5% B was adjusted within 1.1 min and kept for 2.9 min. The flow velocity was set as 0.35 mL per minute; column oven of 40 °C; and injection volume of 4 </w:t>
      </w:r>
      <w:proofErr w:type="spellStart"/>
      <w:r w:rsidRPr="00D05EF6">
        <w:rPr>
          <w:color w:val="000000" w:themeColor="text1"/>
          <w:sz w:val="24"/>
          <w:szCs w:val="24"/>
        </w:rPr>
        <w:t>μL</w:t>
      </w:r>
      <w:proofErr w:type="spellEnd"/>
      <w:r w:rsidRPr="00D05EF6">
        <w:rPr>
          <w:color w:val="000000" w:themeColor="text1"/>
          <w:sz w:val="24"/>
          <w:szCs w:val="24"/>
        </w:rPr>
        <w:t>. The effluent was alternatively connected to an ESI-triple quadrupole linear ion trap (QTRAP)-MS system.</w:t>
      </w:r>
    </w:p>
    <w:p w14:paraId="0009FA83" w14:textId="6B7CFA0B" w:rsidR="003326E7" w:rsidRPr="00D05EF6" w:rsidRDefault="00704574" w:rsidP="003326E7">
      <w:pPr>
        <w:spacing w:line="360" w:lineRule="auto"/>
        <w:ind w:firstLineChars="200" w:firstLine="480"/>
        <w:rPr>
          <w:color w:val="000000" w:themeColor="text1"/>
          <w:sz w:val="24"/>
          <w:szCs w:val="24"/>
        </w:rPr>
      </w:pPr>
      <w:r w:rsidRPr="00D05EF6">
        <w:rPr>
          <w:color w:val="000000" w:themeColor="text1"/>
          <w:sz w:val="24"/>
          <w:szCs w:val="24"/>
        </w:rPr>
        <w:t xml:space="preserve">LIT and triple quadrupole (QQQ) scans were acquired on a triple quadrupole-linear ion trap mass spectrometer (Q TRAP), AB4500 Q TRAP UPLC/MS/MS System, equipped with an ESI Turbo Ion-Spray interface, operating in positive and negative ion mode and controlled by Analyst 1.6.3 software (AB </w:t>
      </w:r>
      <w:proofErr w:type="spellStart"/>
      <w:r w:rsidRPr="00D05EF6">
        <w:rPr>
          <w:color w:val="000000" w:themeColor="text1"/>
          <w:sz w:val="24"/>
          <w:szCs w:val="24"/>
        </w:rPr>
        <w:t>Sciex</w:t>
      </w:r>
      <w:proofErr w:type="spellEnd"/>
      <w:r w:rsidRPr="00D05EF6">
        <w:rPr>
          <w:color w:val="000000" w:themeColor="text1"/>
          <w:sz w:val="24"/>
          <w:szCs w:val="24"/>
        </w:rPr>
        <w:t>). The ESI source operation parameters were as follows: ion source, turbo spray; source temperature 550°C; ion spray voltage (IS) 5500 V (positive ion mode)/-4500 V (negative ion mode); ion source gas I (GSI), gas II(GSII)</w:t>
      </w:r>
      <w:r w:rsidR="004F19E4" w:rsidRPr="00D05EF6">
        <w:rPr>
          <w:color w:val="000000" w:themeColor="text1"/>
          <w:sz w:val="24"/>
          <w:szCs w:val="24"/>
        </w:rPr>
        <w:t xml:space="preserve"> and </w:t>
      </w:r>
      <w:r w:rsidRPr="00D05EF6">
        <w:rPr>
          <w:color w:val="000000" w:themeColor="text1"/>
          <w:sz w:val="24"/>
          <w:szCs w:val="24"/>
        </w:rPr>
        <w:t xml:space="preserve">curtain gas (CUR) were set at 50, 60, and 25.0 psi, respectively; the collision activated dissociation (CAD) was high. Instrument tuning and mass calibration were performed with 10 and 100 </w:t>
      </w:r>
      <w:proofErr w:type="spellStart"/>
      <w:r w:rsidRPr="00D05EF6">
        <w:rPr>
          <w:color w:val="000000" w:themeColor="text1"/>
          <w:sz w:val="24"/>
          <w:szCs w:val="24"/>
        </w:rPr>
        <w:t>μmol</w:t>
      </w:r>
      <w:proofErr w:type="spellEnd"/>
      <w:r w:rsidRPr="00D05EF6">
        <w:rPr>
          <w:color w:val="000000" w:themeColor="text1"/>
          <w:sz w:val="24"/>
          <w:szCs w:val="24"/>
        </w:rPr>
        <w:t xml:space="preserve">/L polypropylene glycol solutions in QQQ and LIT modes, respectively. QQQ scans were acquired as MRM experiments with collision gas (nitrogen) set to medium. DP and CE for individual MRM transitions were done with further DP and CE optimization. A specific set of MRM transitions were monitored for each </w:t>
      </w:r>
      <w:r w:rsidRPr="00D05EF6">
        <w:rPr>
          <w:color w:val="000000" w:themeColor="text1"/>
          <w:sz w:val="24"/>
          <w:szCs w:val="24"/>
        </w:rPr>
        <w:lastRenderedPageBreak/>
        <w:t>period according to the metabolites eluted within this period.</w:t>
      </w:r>
    </w:p>
    <w:p w14:paraId="555B54EB" w14:textId="4A82B6DD" w:rsidR="003326E7" w:rsidRPr="00D05EF6" w:rsidRDefault="003326E7" w:rsidP="003326E7">
      <w:pPr>
        <w:spacing w:line="360" w:lineRule="auto"/>
        <w:ind w:firstLineChars="200" w:firstLine="480"/>
        <w:rPr>
          <w:color w:val="000000" w:themeColor="text1"/>
          <w:sz w:val="24"/>
          <w:szCs w:val="24"/>
        </w:rPr>
      </w:pPr>
      <w:r w:rsidRPr="00D05EF6">
        <w:rPr>
          <w:color w:val="000000" w:themeColor="text1"/>
          <w:sz w:val="24"/>
          <w:szCs w:val="24"/>
        </w:rPr>
        <w:t xml:space="preserve">Qualitative and quantitative determination of metabolites were performed </w:t>
      </w:r>
      <w:r w:rsidR="0030674B">
        <w:rPr>
          <w:rFonts w:hint="eastAsia"/>
          <w:color w:val="000000" w:themeColor="text1"/>
          <w:sz w:val="24"/>
          <w:szCs w:val="24"/>
        </w:rPr>
        <w:t>b</w:t>
      </w:r>
      <w:r w:rsidRPr="00D05EF6">
        <w:rPr>
          <w:color w:val="000000" w:themeColor="text1"/>
          <w:sz w:val="24"/>
          <w:szCs w:val="24"/>
        </w:rPr>
        <w:t>ased on the self-built database MWDB (</w:t>
      </w:r>
      <w:proofErr w:type="spellStart"/>
      <w:r w:rsidRPr="00D05EF6">
        <w:rPr>
          <w:color w:val="000000" w:themeColor="text1"/>
          <w:sz w:val="24"/>
          <w:szCs w:val="24"/>
        </w:rPr>
        <w:t>Metware</w:t>
      </w:r>
      <w:proofErr w:type="spellEnd"/>
      <w:r w:rsidRPr="00D05EF6">
        <w:rPr>
          <w:color w:val="000000" w:themeColor="text1"/>
          <w:sz w:val="24"/>
          <w:szCs w:val="24"/>
        </w:rPr>
        <w:t>, Wuhan, China) and public database of metabolite information</w:t>
      </w:r>
      <w:r w:rsidR="0030674B">
        <w:rPr>
          <w:color w:val="000000" w:themeColor="text1"/>
          <w:sz w:val="24"/>
          <w:szCs w:val="24"/>
        </w:rPr>
        <w:t>. S</w:t>
      </w:r>
      <w:r w:rsidRPr="00D05EF6">
        <w:rPr>
          <w:color w:val="000000" w:themeColor="text1"/>
          <w:sz w:val="24"/>
          <w:szCs w:val="24"/>
        </w:rPr>
        <w:t xml:space="preserve">econdary mass spectrometry data was subjected to qualitative analysis. In order to avoid interference, isotope signals, duplicate signals of K+, Na+, and NH4+ ions, and duplicate signals of fragment ions derived from other relatively large molecules were excluded. Metabolite quantification was performed by the MRM mode of the QQQ mass spectrometer. In the MRM mode, the quadrupole first searched for the precursor ions (parent ions) of target substances while screening any ions derived from substances of different molecular weights to eliminate their interference preliminarily. The precursor ions were fragmented via induced ionization in the collision chamber to form many fragment ions, which were then filtered through QQQ to select single-fragment ions with the desired characteristics while eliminating the interference from nontarget ions, leading to the increased precision and repeatability of the quantification results. After the metabolite mass spectrometry data were obtained for the different samples, all the mass spectrum peaks were subjected to area integration and the mass spectra peaks of the same metabolite in different samples were integrated and corrected using </w:t>
      </w:r>
      <w:proofErr w:type="spellStart"/>
      <w:r w:rsidRPr="00D05EF6">
        <w:rPr>
          <w:color w:val="000000" w:themeColor="text1"/>
          <w:sz w:val="24"/>
          <w:szCs w:val="24"/>
        </w:rPr>
        <w:t>MultiaQuant</w:t>
      </w:r>
      <w:proofErr w:type="spellEnd"/>
      <w:r w:rsidRPr="00D05EF6">
        <w:rPr>
          <w:color w:val="000000" w:themeColor="text1"/>
          <w:sz w:val="24"/>
          <w:szCs w:val="24"/>
        </w:rPr>
        <w:t xml:space="preserve"> software. The area of each peak represents the relative content of the corresponding substance.</w:t>
      </w:r>
    </w:p>
    <w:p w14:paraId="57FB1721" w14:textId="00DD8A17" w:rsidR="00DF5145" w:rsidRPr="00D05EF6" w:rsidRDefault="00844406" w:rsidP="006F3274">
      <w:pPr>
        <w:pStyle w:val="a3"/>
        <w:numPr>
          <w:ilvl w:val="1"/>
          <w:numId w:val="1"/>
        </w:numPr>
        <w:spacing w:line="360" w:lineRule="auto"/>
        <w:ind w:firstLineChars="0"/>
        <w:rPr>
          <w:b/>
          <w:bCs/>
          <w:color w:val="000000" w:themeColor="text1"/>
          <w:sz w:val="24"/>
          <w:szCs w:val="24"/>
        </w:rPr>
      </w:pPr>
      <w:r w:rsidRPr="00D05EF6">
        <w:rPr>
          <w:b/>
          <w:bCs/>
          <w:color w:val="000000" w:themeColor="text1"/>
          <w:sz w:val="24"/>
          <w:szCs w:val="24"/>
        </w:rPr>
        <w:t xml:space="preserve">Methods of </w:t>
      </w:r>
      <w:r w:rsidR="00364AF2" w:rsidRPr="00D05EF6">
        <w:rPr>
          <w:b/>
          <w:bCs/>
          <w:color w:val="000000" w:themeColor="text1"/>
          <w:sz w:val="24"/>
          <w:szCs w:val="24"/>
        </w:rPr>
        <w:t>Phytohormone quantification</w:t>
      </w:r>
    </w:p>
    <w:p w14:paraId="1DEBE8DF" w14:textId="623EDFD5" w:rsidR="007E35CC" w:rsidRPr="00D05EF6" w:rsidRDefault="006F3274" w:rsidP="00DB1134">
      <w:pPr>
        <w:spacing w:line="360" w:lineRule="auto"/>
        <w:ind w:firstLineChars="200" w:firstLine="480"/>
        <w:rPr>
          <w:color w:val="000000" w:themeColor="text1"/>
          <w:sz w:val="24"/>
          <w:szCs w:val="24"/>
        </w:rPr>
      </w:pPr>
      <w:r w:rsidRPr="00D05EF6">
        <w:rPr>
          <w:color w:val="000000" w:themeColor="text1"/>
          <w:sz w:val="24"/>
          <w:szCs w:val="24"/>
        </w:rPr>
        <w:lastRenderedPageBreak/>
        <w:t xml:space="preserve">Phytohormones contents were </w:t>
      </w:r>
      <w:r w:rsidR="007E35CC" w:rsidRPr="00D05EF6">
        <w:rPr>
          <w:color w:val="000000" w:themeColor="text1"/>
          <w:sz w:val="24"/>
          <w:szCs w:val="24"/>
        </w:rPr>
        <w:t>quantified</w:t>
      </w:r>
      <w:r w:rsidRPr="00D05EF6">
        <w:rPr>
          <w:color w:val="000000" w:themeColor="text1"/>
          <w:sz w:val="24"/>
          <w:szCs w:val="24"/>
        </w:rPr>
        <w:t xml:space="preserve"> by </w:t>
      </w:r>
      <w:proofErr w:type="spellStart"/>
      <w:r w:rsidRPr="00D05EF6">
        <w:rPr>
          <w:color w:val="000000" w:themeColor="text1"/>
          <w:sz w:val="24"/>
          <w:szCs w:val="24"/>
        </w:rPr>
        <w:t>MetWare</w:t>
      </w:r>
      <w:proofErr w:type="spellEnd"/>
      <w:r w:rsidRPr="00D05EF6">
        <w:rPr>
          <w:color w:val="000000" w:themeColor="text1"/>
          <w:sz w:val="24"/>
          <w:szCs w:val="24"/>
        </w:rPr>
        <w:t xml:space="preserve"> (</w:t>
      </w:r>
      <w:hyperlink r:id="rId7" w:history="1">
        <w:r w:rsidRPr="00D05EF6">
          <w:rPr>
            <w:color w:val="000000" w:themeColor="text1"/>
            <w:sz w:val="24"/>
            <w:szCs w:val="24"/>
          </w:rPr>
          <w:t>http://www.metware.cn/</w:t>
        </w:r>
      </w:hyperlink>
      <w:r w:rsidRPr="00D05EF6">
        <w:rPr>
          <w:color w:val="000000" w:themeColor="text1"/>
          <w:sz w:val="24"/>
          <w:szCs w:val="24"/>
        </w:rPr>
        <w:t xml:space="preserve">) based on the AB </w:t>
      </w:r>
      <w:proofErr w:type="spellStart"/>
      <w:r w:rsidRPr="00D05EF6">
        <w:rPr>
          <w:color w:val="000000" w:themeColor="text1"/>
          <w:sz w:val="24"/>
          <w:szCs w:val="24"/>
        </w:rPr>
        <w:t>Sciex</w:t>
      </w:r>
      <w:proofErr w:type="spellEnd"/>
      <w:r w:rsidRPr="00D05EF6">
        <w:rPr>
          <w:color w:val="000000" w:themeColor="text1"/>
          <w:sz w:val="24"/>
          <w:szCs w:val="24"/>
        </w:rPr>
        <w:t xml:space="preserve"> QTRAP 6500 LC-MS/MS platform.</w:t>
      </w:r>
      <w:r w:rsidR="00DB1134" w:rsidRPr="00D05EF6">
        <w:rPr>
          <w:color w:val="000000" w:themeColor="text1"/>
          <w:sz w:val="24"/>
          <w:szCs w:val="24"/>
        </w:rPr>
        <w:t xml:space="preserve"> </w:t>
      </w:r>
      <w:r w:rsidR="007E35CC" w:rsidRPr="00D05EF6">
        <w:rPr>
          <w:color w:val="000000" w:themeColor="text1"/>
          <w:sz w:val="24"/>
          <w:szCs w:val="24"/>
        </w:rPr>
        <w:t xml:space="preserve">Fresh plant materials were harvested, weighted, immediately frozen in liquid nitrogen, and stored at -80 °C until needed. Plant materials (50 mg fresh weight) were frozen in liquid nitrogen, ground into powder, and extracted with 1 mL methanol/water/formic acid (15:4:1, V/V/V). The combined extracts were evaporated to dryness under nitrogen gas stream, reconstituted in 100 </w:t>
      </w:r>
      <w:proofErr w:type="spellStart"/>
      <w:r w:rsidR="007E35CC" w:rsidRPr="00D05EF6">
        <w:rPr>
          <w:color w:val="000000" w:themeColor="text1"/>
          <w:sz w:val="24"/>
          <w:szCs w:val="24"/>
        </w:rPr>
        <w:t>μL</w:t>
      </w:r>
      <w:proofErr w:type="spellEnd"/>
      <w:r w:rsidR="007E35CC" w:rsidRPr="00D05EF6">
        <w:rPr>
          <w:color w:val="000000" w:themeColor="text1"/>
          <w:sz w:val="24"/>
          <w:szCs w:val="24"/>
        </w:rPr>
        <w:t xml:space="preserve"> 80% methanol (V/V), and filtered through 0.22 </w:t>
      </w:r>
      <w:proofErr w:type="spellStart"/>
      <w:r w:rsidR="007E35CC" w:rsidRPr="00D05EF6">
        <w:rPr>
          <w:color w:val="000000" w:themeColor="text1"/>
          <w:sz w:val="24"/>
          <w:szCs w:val="24"/>
        </w:rPr>
        <w:t>μm</w:t>
      </w:r>
      <w:proofErr w:type="spellEnd"/>
      <w:r w:rsidR="007E35CC" w:rsidRPr="00D05EF6">
        <w:rPr>
          <w:color w:val="000000" w:themeColor="text1"/>
          <w:sz w:val="24"/>
          <w:szCs w:val="24"/>
        </w:rPr>
        <w:t xml:space="preserve"> filter for further LC-MS analysis. </w:t>
      </w:r>
    </w:p>
    <w:p w14:paraId="18422821" w14:textId="77777777" w:rsidR="007E35CC" w:rsidRPr="00D05EF6" w:rsidRDefault="007E35CC" w:rsidP="00DB1134">
      <w:pPr>
        <w:spacing w:line="360" w:lineRule="auto"/>
        <w:ind w:firstLineChars="200" w:firstLine="480"/>
        <w:rPr>
          <w:color w:val="000000" w:themeColor="text1"/>
          <w:sz w:val="24"/>
          <w:szCs w:val="24"/>
        </w:rPr>
      </w:pPr>
      <w:r w:rsidRPr="00D05EF6">
        <w:rPr>
          <w:color w:val="000000" w:themeColor="text1"/>
          <w:sz w:val="24"/>
          <w:szCs w:val="24"/>
        </w:rPr>
        <w:t xml:space="preserve">HPLC-grade acetonitrile (ACN) and methanol (MeOH) were purchased from Merck (Darmstadt, Germany). </w:t>
      </w:r>
      <w:proofErr w:type="spellStart"/>
      <w:r w:rsidRPr="00D05EF6">
        <w:rPr>
          <w:color w:val="000000" w:themeColor="text1"/>
          <w:sz w:val="24"/>
          <w:szCs w:val="24"/>
        </w:rPr>
        <w:t>MilliQ</w:t>
      </w:r>
      <w:proofErr w:type="spellEnd"/>
      <w:r w:rsidRPr="00D05EF6">
        <w:rPr>
          <w:color w:val="000000" w:themeColor="text1"/>
          <w:sz w:val="24"/>
          <w:szCs w:val="24"/>
        </w:rPr>
        <w:t xml:space="preserve"> water (Millipore, Bradford, USA) was used in all experiments. All of the standards were purchased from </w:t>
      </w:r>
      <w:proofErr w:type="spellStart"/>
      <w:r w:rsidRPr="00D05EF6">
        <w:rPr>
          <w:color w:val="000000" w:themeColor="text1"/>
          <w:sz w:val="24"/>
          <w:szCs w:val="24"/>
        </w:rPr>
        <w:t>Olchemim</w:t>
      </w:r>
      <w:proofErr w:type="spellEnd"/>
      <w:r w:rsidRPr="00D05EF6">
        <w:rPr>
          <w:color w:val="000000" w:themeColor="text1"/>
          <w:sz w:val="24"/>
          <w:szCs w:val="24"/>
        </w:rPr>
        <w:t xml:space="preserve"> Ltd. (Olomouc, Czech Republic) and Sigma (St. Louis, MO, USA). Acetic acid and formic acid were bought from Sinopharm </w:t>
      </w:r>
      <w:proofErr w:type="spellStart"/>
      <w:r w:rsidRPr="00D05EF6">
        <w:rPr>
          <w:color w:val="000000" w:themeColor="text1"/>
          <w:sz w:val="24"/>
          <w:szCs w:val="24"/>
        </w:rPr>
        <w:t>ChemicalReagent</w:t>
      </w:r>
      <w:proofErr w:type="spellEnd"/>
      <w:r w:rsidRPr="00D05EF6">
        <w:rPr>
          <w:color w:val="000000" w:themeColor="text1"/>
          <w:sz w:val="24"/>
          <w:szCs w:val="24"/>
        </w:rPr>
        <w:t xml:space="preserve"> (Shanghai, China). The stock solutions of standards were prepared at the concentration of 1 mg/mL in MeOH. All stock solutions were stored at -20°C. The stock solutions were diluted with MeOH to working solutions before analysis. </w:t>
      </w:r>
    </w:p>
    <w:p w14:paraId="1F9A2FEA" w14:textId="05413584" w:rsidR="006F3274" w:rsidRPr="00D05EF6" w:rsidRDefault="007E35CC" w:rsidP="00DB1134">
      <w:pPr>
        <w:spacing w:line="360" w:lineRule="auto"/>
        <w:ind w:firstLineChars="200" w:firstLine="480"/>
        <w:rPr>
          <w:color w:val="000000" w:themeColor="text1"/>
          <w:sz w:val="24"/>
          <w:szCs w:val="24"/>
        </w:rPr>
      </w:pPr>
      <w:r w:rsidRPr="00D05EF6">
        <w:rPr>
          <w:color w:val="000000" w:themeColor="text1"/>
          <w:sz w:val="24"/>
          <w:szCs w:val="24"/>
        </w:rPr>
        <w:t xml:space="preserve">The sample extracts were analyzed using an LC-ESI-MS/MS system (UHPLC， </w:t>
      </w:r>
      <w:proofErr w:type="spellStart"/>
      <w:r w:rsidRPr="00D05EF6">
        <w:rPr>
          <w:color w:val="000000" w:themeColor="text1"/>
          <w:sz w:val="24"/>
          <w:szCs w:val="24"/>
        </w:rPr>
        <w:t>ExionLC</w:t>
      </w:r>
      <w:proofErr w:type="spellEnd"/>
      <w:r w:rsidRPr="00D05EF6">
        <w:rPr>
          <w:color w:val="000000" w:themeColor="text1"/>
          <w:sz w:val="24"/>
          <w:szCs w:val="24"/>
        </w:rPr>
        <w:t>™ AD，</w:t>
      </w:r>
      <w:r w:rsidRPr="00D05EF6">
        <w:rPr>
          <w:color w:val="000000" w:themeColor="text1"/>
          <w:sz w:val="24"/>
          <w:szCs w:val="24"/>
        </w:rPr>
        <w:fldChar w:fldCharType="begin"/>
      </w:r>
      <w:r w:rsidRPr="00D05EF6">
        <w:rPr>
          <w:color w:val="000000" w:themeColor="text1"/>
          <w:sz w:val="24"/>
          <w:szCs w:val="24"/>
        </w:rPr>
        <w:instrText xml:space="preserve"> HYPERLINK "https://sciex.com.cn/" </w:instrText>
      </w:r>
      <w:r w:rsidRPr="00D05EF6">
        <w:rPr>
          <w:color w:val="000000" w:themeColor="text1"/>
          <w:sz w:val="24"/>
          <w:szCs w:val="24"/>
        </w:rPr>
      </w:r>
      <w:r w:rsidRPr="00D05EF6">
        <w:rPr>
          <w:color w:val="000000" w:themeColor="text1"/>
          <w:sz w:val="24"/>
          <w:szCs w:val="24"/>
        </w:rPr>
        <w:fldChar w:fldCharType="separate"/>
      </w:r>
      <w:r w:rsidRPr="00D05EF6">
        <w:rPr>
          <w:color w:val="000000" w:themeColor="text1"/>
          <w:sz w:val="24"/>
          <w:szCs w:val="24"/>
        </w:rPr>
        <w:t>https://sciex.com.cn/</w:t>
      </w:r>
      <w:r w:rsidRPr="00D05EF6">
        <w:rPr>
          <w:color w:val="000000" w:themeColor="text1"/>
          <w:sz w:val="24"/>
          <w:szCs w:val="24"/>
        </w:rPr>
        <w:fldChar w:fldCharType="end"/>
      </w:r>
      <w:r w:rsidRPr="00D05EF6">
        <w:rPr>
          <w:color w:val="000000" w:themeColor="text1"/>
          <w:sz w:val="24"/>
          <w:szCs w:val="24"/>
        </w:rPr>
        <w:t>; MS，Applied Biosystems 6500 Triple Quadrupole, </w:t>
      </w:r>
      <w:hyperlink r:id="rId8" w:history="1">
        <w:r w:rsidRPr="00D05EF6">
          <w:rPr>
            <w:color w:val="000000" w:themeColor="text1"/>
            <w:sz w:val="24"/>
            <w:szCs w:val="24"/>
          </w:rPr>
          <w:t>https://sciex.com.cn/</w:t>
        </w:r>
      </w:hyperlink>
      <w:r w:rsidRPr="00D05EF6">
        <w:rPr>
          <w:color w:val="000000" w:themeColor="text1"/>
          <w:sz w:val="24"/>
          <w:szCs w:val="24"/>
        </w:rPr>
        <w:t xml:space="preserve">). The analytical conditions were as follows, HPLC: column, Waters ACQUITY UPLC HSS T3 C18 (100 mm×2.1 mm </w:t>
      </w:r>
      <w:proofErr w:type="spellStart"/>
      <w:r w:rsidRPr="00D05EF6">
        <w:rPr>
          <w:color w:val="000000" w:themeColor="text1"/>
          <w:sz w:val="24"/>
          <w:szCs w:val="24"/>
        </w:rPr>
        <w:t>i.d.</w:t>
      </w:r>
      <w:proofErr w:type="spellEnd"/>
      <w:r w:rsidRPr="00D05EF6">
        <w:rPr>
          <w:color w:val="000000" w:themeColor="text1"/>
          <w:sz w:val="24"/>
          <w:szCs w:val="24"/>
        </w:rPr>
        <w:t xml:space="preserve">，1.8 µm); solvent system, water with 0.04% acetic acid (A), acetonitrile with 0.04% acetic acid (B); gradient program, started at 5% B (0-1 min), increased to 95% B (1-8 min), 95% </w:t>
      </w:r>
      <w:r w:rsidRPr="00D05EF6">
        <w:rPr>
          <w:color w:val="000000" w:themeColor="text1"/>
          <w:sz w:val="24"/>
          <w:szCs w:val="24"/>
        </w:rPr>
        <w:lastRenderedPageBreak/>
        <w:t xml:space="preserve">B (8-9 min), </w:t>
      </w:r>
      <w:r w:rsidR="0027323C" w:rsidRPr="00D05EF6">
        <w:rPr>
          <w:color w:val="000000" w:themeColor="text1"/>
          <w:sz w:val="24"/>
          <w:szCs w:val="24"/>
        </w:rPr>
        <w:t>finally</w:t>
      </w:r>
      <w:r w:rsidRPr="00D05EF6">
        <w:rPr>
          <w:color w:val="000000" w:themeColor="text1"/>
          <w:sz w:val="24"/>
          <w:szCs w:val="24"/>
        </w:rPr>
        <w:t xml:space="preserve"> ramped back to 5% B (9.1-12 min); flow rate, 0.35 mL/min; temperature, 40°C; injection volume: 2 </w:t>
      </w:r>
      <w:proofErr w:type="spellStart"/>
      <w:r w:rsidRPr="00D05EF6">
        <w:rPr>
          <w:color w:val="000000" w:themeColor="text1"/>
          <w:sz w:val="24"/>
          <w:szCs w:val="24"/>
        </w:rPr>
        <w:t>μL</w:t>
      </w:r>
      <w:proofErr w:type="spellEnd"/>
      <w:r w:rsidRPr="00D05EF6">
        <w:rPr>
          <w:color w:val="000000" w:themeColor="text1"/>
          <w:sz w:val="24"/>
          <w:szCs w:val="24"/>
        </w:rPr>
        <w:t>.</w:t>
      </w:r>
    </w:p>
    <w:p w14:paraId="0D21F0B4" w14:textId="524D81FE" w:rsidR="007E35CC" w:rsidRPr="00D05EF6" w:rsidRDefault="007E35CC" w:rsidP="00DB1134">
      <w:pPr>
        <w:spacing w:line="360" w:lineRule="auto"/>
        <w:ind w:firstLineChars="200" w:firstLine="480"/>
        <w:rPr>
          <w:color w:val="000000" w:themeColor="text1"/>
          <w:sz w:val="24"/>
          <w:szCs w:val="24"/>
        </w:rPr>
      </w:pPr>
      <w:r w:rsidRPr="00D05EF6">
        <w:rPr>
          <w:color w:val="000000" w:themeColor="text1"/>
          <w:sz w:val="24"/>
          <w:szCs w:val="24"/>
        </w:rPr>
        <w:t xml:space="preserve">AB 6500+ QTRAP® LC-MS/MS System, equipped with an ESI Turbo Ion-Spray interface, operating in both positive and negative ion modes and controlled by Analyst 1.6 software (AB </w:t>
      </w:r>
      <w:proofErr w:type="spellStart"/>
      <w:r w:rsidRPr="00D05EF6">
        <w:rPr>
          <w:color w:val="000000" w:themeColor="text1"/>
          <w:sz w:val="24"/>
          <w:szCs w:val="24"/>
        </w:rPr>
        <w:t>Sciex</w:t>
      </w:r>
      <w:proofErr w:type="spellEnd"/>
      <w:r w:rsidRPr="00D05EF6">
        <w:rPr>
          <w:color w:val="000000" w:themeColor="text1"/>
          <w:sz w:val="24"/>
          <w:szCs w:val="24"/>
        </w:rPr>
        <w:t>). The ESI source operation parameters were as follows: ion source, turbo spray; source temperature 550°C; ion spray voltage (IS) 5500 V（Positive）,-4500 V(</w:t>
      </w:r>
      <w:proofErr w:type="spellStart"/>
      <w:r w:rsidRPr="00D05EF6">
        <w:rPr>
          <w:color w:val="000000" w:themeColor="text1"/>
          <w:sz w:val="24"/>
          <w:szCs w:val="24"/>
        </w:rPr>
        <w:t>Neagtive</w:t>
      </w:r>
      <w:proofErr w:type="spellEnd"/>
      <w:r w:rsidRPr="00D05EF6">
        <w:rPr>
          <w:color w:val="000000" w:themeColor="text1"/>
          <w:sz w:val="24"/>
          <w:szCs w:val="24"/>
        </w:rPr>
        <w:t xml:space="preserve">); curtain gas (CUR) </w:t>
      </w:r>
      <w:r w:rsidR="0027323C" w:rsidRPr="00D05EF6">
        <w:rPr>
          <w:color w:val="000000" w:themeColor="text1"/>
          <w:sz w:val="24"/>
          <w:szCs w:val="24"/>
        </w:rPr>
        <w:t>was</w:t>
      </w:r>
      <w:r w:rsidRPr="00D05EF6">
        <w:rPr>
          <w:color w:val="000000" w:themeColor="text1"/>
          <w:sz w:val="24"/>
          <w:szCs w:val="24"/>
        </w:rPr>
        <w:t xml:space="preserve"> set at 35.0 psi; DP and CE for individual MRM transitions was done with further DP and CE optimization. A specific set of MRM transitions were monitored for each period according to the plant hormones eluted within this period.</w:t>
      </w:r>
    </w:p>
    <w:p w14:paraId="13672FE0" w14:textId="09E7A3D3" w:rsidR="004D77D8" w:rsidRPr="00D05EF6" w:rsidRDefault="001C0F2D" w:rsidP="001C0F2D">
      <w:pPr>
        <w:pStyle w:val="a3"/>
        <w:numPr>
          <w:ilvl w:val="1"/>
          <w:numId w:val="1"/>
        </w:numPr>
        <w:spacing w:line="360" w:lineRule="auto"/>
        <w:ind w:firstLineChars="0"/>
        <w:rPr>
          <w:color w:val="000000" w:themeColor="text1"/>
          <w:sz w:val="24"/>
          <w:szCs w:val="24"/>
        </w:rPr>
      </w:pPr>
      <w:r w:rsidRPr="00D05EF6">
        <w:rPr>
          <w:b/>
          <w:bCs/>
          <w:color w:val="000000" w:themeColor="text1"/>
          <w:sz w:val="24"/>
          <w:szCs w:val="24"/>
        </w:rPr>
        <w:t xml:space="preserve">Methods of RNA-seq </w:t>
      </w:r>
      <w:r w:rsidR="00D46D65" w:rsidRPr="00D05EF6">
        <w:rPr>
          <w:rFonts w:hint="eastAsia"/>
          <w:b/>
          <w:bCs/>
          <w:color w:val="000000" w:themeColor="text1"/>
          <w:sz w:val="24"/>
          <w:szCs w:val="24"/>
        </w:rPr>
        <w:t>o</w:t>
      </w:r>
      <w:r w:rsidR="00D46D65" w:rsidRPr="00D05EF6">
        <w:rPr>
          <w:b/>
          <w:bCs/>
          <w:color w:val="000000" w:themeColor="text1"/>
          <w:sz w:val="24"/>
          <w:szCs w:val="24"/>
        </w:rPr>
        <w:t xml:space="preserve">f the </w:t>
      </w:r>
      <w:r w:rsidRPr="00D05EF6">
        <w:rPr>
          <w:b/>
          <w:bCs/>
          <w:color w:val="000000" w:themeColor="text1"/>
          <w:sz w:val="24"/>
          <w:szCs w:val="24"/>
        </w:rPr>
        <w:t>infested cucumbers</w:t>
      </w:r>
      <w:r w:rsidR="00D46D65" w:rsidRPr="00D05EF6">
        <w:rPr>
          <w:b/>
          <w:bCs/>
          <w:color w:val="000000" w:themeColor="text1"/>
          <w:sz w:val="24"/>
          <w:szCs w:val="24"/>
        </w:rPr>
        <w:t xml:space="preserve"> by Cucurbit lineage aphids</w:t>
      </w:r>
    </w:p>
    <w:p w14:paraId="128A9ED4" w14:textId="77777777" w:rsidR="00F91843" w:rsidRPr="00D05EF6" w:rsidRDefault="00FB7B14" w:rsidP="00F91843">
      <w:pPr>
        <w:ind w:firstLineChars="200" w:firstLine="480"/>
        <w:rPr>
          <w:color w:val="000000" w:themeColor="text1"/>
          <w:sz w:val="24"/>
          <w:szCs w:val="24"/>
        </w:rPr>
      </w:pPr>
      <w:r w:rsidRPr="00D05EF6">
        <w:rPr>
          <w:color w:val="000000" w:themeColor="text1"/>
          <w:sz w:val="24"/>
          <w:szCs w:val="24"/>
        </w:rPr>
        <w:t xml:space="preserve">Total RNAs were extracted from </w:t>
      </w:r>
      <w:r w:rsidR="005210C9" w:rsidRPr="00D05EF6">
        <w:rPr>
          <w:color w:val="000000" w:themeColor="text1"/>
          <w:sz w:val="24"/>
          <w:szCs w:val="24"/>
        </w:rPr>
        <w:t>cucumber leaves of different treatments</w:t>
      </w:r>
      <w:r w:rsidR="001561AB" w:rsidRPr="00D05EF6">
        <w:rPr>
          <w:color w:val="000000" w:themeColor="text1"/>
          <w:sz w:val="24"/>
          <w:szCs w:val="24"/>
        </w:rPr>
        <w:t xml:space="preserve"> </w:t>
      </w:r>
      <w:r w:rsidRPr="00D05EF6">
        <w:rPr>
          <w:color w:val="000000" w:themeColor="text1"/>
          <w:sz w:val="24"/>
          <w:szCs w:val="24"/>
        </w:rPr>
        <w:t xml:space="preserve">with </w:t>
      </w:r>
      <w:proofErr w:type="spellStart"/>
      <w:r w:rsidRPr="00D05EF6">
        <w:rPr>
          <w:color w:val="000000" w:themeColor="text1"/>
          <w:sz w:val="24"/>
          <w:szCs w:val="24"/>
        </w:rPr>
        <w:t>TRIzol</w:t>
      </w:r>
      <w:proofErr w:type="spellEnd"/>
      <w:r w:rsidRPr="00D05EF6">
        <w:rPr>
          <w:color w:val="000000" w:themeColor="text1"/>
          <w:sz w:val="24"/>
          <w:szCs w:val="24"/>
        </w:rPr>
        <w:t xml:space="preserve"> reagent according to the manufacturer’s instructions. DNA contamination was eliminated by DNase I treatment. RNA integrality was analyzed by RNase free agarose gel electrophoresis. The quality and quantity of the RNA samples were examined with Bioanalyzer 2100 system (Agilent Technologies, California, USA) and Nanodrop One spectrophotometer (Life Technologies).</w:t>
      </w:r>
      <w:r w:rsidR="005E4A0E" w:rsidRPr="00D05EF6">
        <w:rPr>
          <w:color w:val="000000" w:themeColor="text1"/>
          <w:sz w:val="24"/>
          <w:szCs w:val="24"/>
        </w:rPr>
        <w:t xml:space="preserve"> </w:t>
      </w:r>
      <w:r w:rsidRPr="00D05EF6">
        <w:rPr>
          <w:color w:val="000000" w:themeColor="text1"/>
          <w:sz w:val="24"/>
          <w:szCs w:val="24"/>
        </w:rPr>
        <w:t>The total RNAs extracted from</w:t>
      </w:r>
      <w:r w:rsidR="005E4A0E" w:rsidRPr="00D05EF6">
        <w:rPr>
          <w:color w:val="000000" w:themeColor="text1"/>
          <w:sz w:val="24"/>
          <w:szCs w:val="24"/>
        </w:rPr>
        <w:t xml:space="preserve"> cucumber leaves</w:t>
      </w:r>
      <w:r w:rsidRPr="00D05EF6">
        <w:rPr>
          <w:color w:val="000000" w:themeColor="text1"/>
          <w:sz w:val="24"/>
          <w:szCs w:val="24"/>
        </w:rPr>
        <w:t xml:space="preserve"> were used to construct the RNA-Seq library, respectively. The construction of the cDNA libraries and RNA-seq were performed by </w:t>
      </w:r>
      <w:proofErr w:type="spellStart"/>
      <w:r w:rsidRPr="00D05EF6">
        <w:rPr>
          <w:color w:val="000000" w:themeColor="text1"/>
          <w:sz w:val="24"/>
          <w:szCs w:val="24"/>
        </w:rPr>
        <w:t>Metware</w:t>
      </w:r>
      <w:proofErr w:type="spellEnd"/>
      <w:r w:rsidRPr="00D05EF6">
        <w:rPr>
          <w:color w:val="000000" w:themeColor="text1"/>
          <w:sz w:val="24"/>
          <w:szCs w:val="24"/>
        </w:rPr>
        <w:t xml:space="preserve"> (https://www.metware.cn) on the Illumina </w:t>
      </w:r>
      <w:proofErr w:type="spellStart"/>
      <w:r w:rsidRPr="00D05EF6">
        <w:rPr>
          <w:color w:val="000000" w:themeColor="text1"/>
          <w:sz w:val="24"/>
          <w:szCs w:val="24"/>
        </w:rPr>
        <w:t>HiSeq</w:t>
      </w:r>
      <w:proofErr w:type="spellEnd"/>
      <w:r w:rsidRPr="00D05EF6">
        <w:rPr>
          <w:color w:val="000000" w:themeColor="text1"/>
          <w:sz w:val="24"/>
          <w:szCs w:val="24"/>
        </w:rPr>
        <w:t xml:space="preserve"> 4500 platform.</w:t>
      </w:r>
    </w:p>
    <w:p w14:paraId="7DBBFC9F" w14:textId="7A759159" w:rsidR="00F13DEE" w:rsidRPr="00D05EF6" w:rsidRDefault="00AF2EAF" w:rsidP="00F91843">
      <w:pPr>
        <w:ind w:firstLineChars="200" w:firstLine="480"/>
        <w:rPr>
          <w:color w:val="000000" w:themeColor="text1"/>
          <w:sz w:val="24"/>
          <w:szCs w:val="24"/>
        </w:rPr>
      </w:pPr>
      <w:r w:rsidRPr="00D05EF6">
        <w:rPr>
          <w:color w:val="000000" w:themeColor="text1"/>
          <w:sz w:val="24"/>
          <w:szCs w:val="24"/>
        </w:rPr>
        <w:t xml:space="preserve">All downstream analyses were based on high-quality clean data. These clean </w:t>
      </w:r>
      <w:r w:rsidRPr="00D05EF6">
        <w:rPr>
          <w:color w:val="000000" w:themeColor="text1"/>
          <w:sz w:val="24"/>
          <w:szCs w:val="24"/>
        </w:rPr>
        <w:lastRenderedPageBreak/>
        <w:t xml:space="preserve">data were obtained using the </w:t>
      </w:r>
      <w:proofErr w:type="spellStart"/>
      <w:r w:rsidRPr="00D05EF6">
        <w:rPr>
          <w:color w:val="000000" w:themeColor="text1"/>
          <w:sz w:val="24"/>
          <w:szCs w:val="24"/>
        </w:rPr>
        <w:t>FASTQ_Quality_Filter</w:t>
      </w:r>
      <w:proofErr w:type="spellEnd"/>
      <w:r w:rsidRPr="00D05EF6">
        <w:rPr>
          <w:color w:val="000000" w:themeColor="text1"/>
          <w:sz w:val="24"/>
          <w:szCs w:val="24"/>
        </w:rPr>
        <w:t xml:space="preserve"> tool from the FASTX-toolkit by removing low quality reads (the number of Qphred≤20 bases occupy more than 50% of the total read length) and reads containing poly-N ratio≥10 from raw data. Clean data were mapped onto the reference genome sequence </w:t>
      </w:r>
      <w:r w:rsidR="00280EAD" w:rsidRPr="00D05EF6">
        <w:rPr>
          <w:color w:val="000000" w:themeColor="text1"/>
          <w:sz w:val="24"/>
          <w:szCs w:val="24"/>
        </w:rPr>
        <w:t>Cucumber_9930_V3</w:t>
      </w:r>
      <w:r w:rsidRPr="00D05EF6">
        <w:rPr>
          <w:color w:val="000000" w:themeColor="text1"/>
          <w:sz w:val="24"/>
          <w:szCs w:val="24"/>
        </w:rPr>
        <w:t xml:space="preserve"> (</w:t>
      </w:r>
      <w:r w:rsidR="00280EAD" w:rsidRPr="00D05EF6">
        <w:rPr>
          <w:color w:val="000000" w:themeColor="text1"/>
          <w:sz w:val="24"/>
          <w:szCs w:val="24"/>
        </w:rPr>
        <w:t>www.ncbi.nlm.nih.gov/data-hub/genome/GCF_000004075.3/</w:t>
      </w:r>
      <w:r w:rsidRPr="00D05EF6">
        <w:rPr>
          <w:color w:val="000000" w:themeColor="text1"/>
          <w:sz w:val="24"/>
          <w:szCs w:val="24"/>
        </w:rPr>
        <w:t xml:space="preserve">) using HISAT 2.0.4 (the ratio of total mapped reads≥70 and multiple mapped reads≤10). </w:t>
      </w:r>
      <w:proofErr w:type="spellStart"/>
      <w:r w:rsidRPr="00D05EF6">
        <w:rPr>
          <w:color w:val="000000" w:themeColor="text1"/>
          <w:sz w:val="24"/>
          <w:szCs w:val="24"/>
        </w:rPr>
        <w:t>HTSeq</w:t>
      </w:r>
      <w:proofErr w:type="spellEnd"/>
      <w:r w:rsidRPr="00D05EF6">
        <w:rPr>
          <w:color w:val="000000" w:themeColor="text1"/>
          <w:sz w:val="24"/>
          <w:szCs w:val="24"/>
        </w:rPr>
        <w:t xml:space="preserve"> v0.6.1 was used to count the reads numbers mapped to each gene. The gene expression levels were quantified </w:t>
      </w:r>
      <w:r w:rsidR="00280EAD" w:rsidRPr="00D05EF6">
        <w:rPr>
          <w:color w:val="000000" w:themeColor="text1"/>
          <w:sz w:val="24"/>
          <w:szCs w:val="24"/>
        </w:rPr>
        <w:t xml:space="preserve">using </w:t>
      </w:r>
      <w:proofErr w:type="spellStart"/>
      <w:r w:rsidR="00280EAD" w:rsidRPr="00D05EF6">
        <w:rPr>
          <w:color w:val="000000" w:themeColor="text1"/>
          <w:sz w:val="24"/>
          <w:szCs w:val="24"/>
        </w:rPr>
        <w:t>featureCounts</w:t>
      </w:r>
      <w:proofErr w:type="spellEnd"/>
      <w:r w:rsidR="00280EAD" w:rsidRPr="00D05EF6">
        <w:rPr>
          <w:color w:val="000000" w:themeColor="text1"/>
          <w:sz w:val="24"/>
          <w:szCs w:val="24"/>
        </w:rPr>
        <w:t xml:space="preserve"> v1.6.2 to calculate the gene alignment, and then calculate </w:t>
      </w:r>
      <w:r w:rsidR="00C00C6B" w:rsidRPr="00D05EF6">
        <w:rPr>
          <w:color w:val="000000" w:themeColor="text1"/>
          <w:sz w:val="24"/>
          <w:szCs w:val="24"/>
        </w:rPr>
        <w:t>the fragment per kilobase per million mapped (FPKM)</w:t>
      </w:r>
      <w:r w:rsidR="00A05E1D" w:rsidRPr="00D05EF6">
        <w:rPr>
          <w:color w:val="000000" w:themeColor="text1"/>
          <w:sz w:val="24"/>
          <w:szCs w:val="24"/>
        </w:rPr>
        <w:t>.</w:t>
      </w:r>
      <w:r w:rsidRPr="00D05EF6">
        <w:rPr>
          <w:color w:val="000000" w:themeColor="text1"/>
          <w:sz w:val="24"/>
          <w:szCs w:val="24"/>
        </w:rPr>
        <w:t xml:space="preserve"> </w:t>
      </w:r>
      <w:r w:rsidR="000C6363" w:rsidRPr="00D05EF6">
        <w:rPr>
          <w:color w:val="000000" w:themeColor="text1"/>
          <w:sz w:val="24"/>
          <w:szCs w:val="24"/>
        </w:rPr>
        <w:t xml:space="preserve">DESeq2 v1.22.1 was used to analyze the differential expression between the two groups, and the </w:t>
      </w:r>
      <w:r w:rsidR="000C6363" w:rsidRPr="00D05EF6">
        <w:rPr>
          <w:i/>
          <w:iCs/>
          <w:color w:val="000000" w:themeColor="text1"/>
          <w:sz w:val="24"/>
          <w:szCs w:val="24"/>
        </w:rPr>
        <w:t>p</w:t>
      </w:r>
      <w:r w:rsidR="000C6363" w:rsidRPr="00D05EF6">
        <w:rPr>
          <w:color w:val="000000" w:themeColor="text1"/>
          <w:sz w:val="24"/>
          <w:szCs w:val="24"/>
        </w:rPr>
        <w:t xml:space="preserve">-value was corrected using the </w:t>
      </w:r>
      <w:proofErr w:type="spellStart"/>
      <w:r w:rsidR="000C6363" w:rsidRPr="00D05EF6">
        <w:rPr>
          <w:color w:val="000000" w:themeColor="text1"/>
          <w:sz w:val="24"/>
          <w:szCs w:val="24"/>
        </w:rPr>
        <w:t>Benjamini</w:t>
      </w:r>
      <w:proofErr w:type="spellEnd"/>
      <w:r w:rsidR="000C6363" w:rsidRPr="00D05EF6">
        <w:rPr>
          <w:color w:val="000000" w:themeColor="text1"/>
          <w:sz w:val="24"/>
          <w:szCs w:val="24"/>
        </w:rPr>
        <w:t xml:space="preserve"> &amp; Hochberg method. Differentially expressed genes (</w:t>
      </w:r>
      <w:r w:rsidRPr="00D05EF6">
        <w:rPr>
          <w:color w:val="000000" w:themeColor="text1"/>
          <w:sz w:val="24"/>
          <w:szCs w:val="24"/>
        </w:rPr>
        <w:t>DEGs</w:t>
      </w:r>
      <w:r w:rsidR="000C6363" w:rsidRPr="00D05EF6">
        <w:rPr>
          <w:color w:val="000000" w:themeColor="text1"/>
          <w:sz w:val="24"/>
          <w:szCs w:val="24"/>
        </w:rPr>
        <w:t>)</w:t>
      </w:r>
      <w:r w:rsidRPr="00D05EF6">
        <w:rPr>
          <w:color w:val="000000" w:themeColor="text1"/>
          <w:sz w:val="24"/>
          <w:szCs w:val="24"/>
        </w:rPr>
        <w:t xml:space="preserve"> were detected using the DESeq2 R package (1.18.0), and were shown by a Venn diagram. Genes with an adjusted </w:t>
      </w:r>
      <w:r w:rsidRPr="00D05EF6">
        <w:rPr>
          <w:i/>
          <w:iCs/>
          <w:color w:val="000000" w:themeColor="text1"/>
          <w:sz w:val="24"/>
          <w:szCs w:val="24"/>
        </w:rPr>
        <w:t>p</w:t>
      </w:r>
      <w:r w:rsidRPr="00D05EF6">
        <w:rPr>
          <w:color w:val="000000" w:themeColor="text1"/>
          <w:sz w:val="24"/>
          <w:szCs w:val="24"/>
        </w:rPr>
        <w:t>-value &lt;0.05 and |Log2fold change|≥1 were identified as DEGs.</w:t>
      </w:r>
    </w:p>
    <w:p w14:paraId="081CB965" w14:textId="3FDE6ED9" w:rsidR="006E6B1E" w:rsidRPr="00D05EF6" w:rsidRDefault="00F91843" w:rsidP="005F67C4">
      <w:pPr>
        <w:pStyle w:val="a3"/>
        <w:numPr>
          <w:ilvl w:val="1"/>
          <w:numId w:val="1"/>
        </w:numPr>
        <w:spacing w:line="360" w:lineRule="auto"/>
        <w:ind w:firstLineChars="0"/>
        <w:rPr>
          <w:b/>
          <w:bCs/>
          <w:color w:val="000000" w:themeColor="text1"/>
          <w:sz w:val="24"/>
          <w:szCs w:val="24"/>
        </w:rPr>
      </w:pPr>
      <w:r w:rsidRPr="00D05EF6">
        <w:rPr>
          <w:b/>
          <w:bCs/>
          <w:color w:val="000000" w:themeColor="text1"/>
          <w:sz w:val="24"/>
          <w:szCs w:val="24"/>
        </w:rPr>
        <w:t xml:space="preserve">Methods of </w:t>
      </w:r>
      <w:r w:rsidR="006E6B1E" w:rsidRPr="00D05EF6">
        <w:rPr>
          <w:b/>
          <w:bCs/>
          <w:color w:val="000000" w:themeColor="text1"/>
          <w:sz w:val="24"/>
          <w:szCs w:val="24"/>
        </w:rPr>
        <w:t>RT-</w:t>
      </w:r>
      <w:r w:rsidR="00BF20DE" w:rsidRPr="00D05EF6">
        <w:rPr>
          <w:b/>
          <w:bCs/>
          <w:color w:val="000000" w:themeColor="text1"/>
          <w:sz w:val="24"/>
          <w:szCs w:val="24"/>
        </w:rPr>
        <w:t>q</w:t>
      </w:r>
      <w:r w:rsidR="006E6B1E" w:rsidRPr="00D05EF6">
        <w:rPr>
          <w:b/>
          <w:bCs/>
          <w:color w:val="000000" w:themeColor="text1"/>
          <w:sz w:val="24"/>
          <w:szCs w:val="24"/>
        </w:rPr>
        <w:t xml:space="preserve">PCR </w:t>
      </w:r>
      <w:r w:rsidRPr="00D05EF6">
        <w:rPr>
          <w:b/>
          <w:bCs/>
          <w:color w:val="000000" w:themeColor="text1"/>
          <w:sz w:val="24"/>
          <w:szCs w:val="24"/>
        </w:rPr>
        <w:t xml:space="preserve">for </w:t>
      </w:r>
      <w:r w:rsidR="006E6B1E" w:rsidRPr="00D05EF6">
        <w:rPr>
          <w:b/>
          <w:bCs/>
          <w:color w:val="000000" w:themeColor="text1"/>
          <w:sz w:val="24"/>
          <w:szCs w:val="24"/>
        </w:rPr>
        <w:t xml:space="preserve">Validation </w:t>
      </w:r>
      <w:r w:rsidRPr="00D05EF6">
        <w:rPr>
          <w:b/>
          <w:bCs/>
          <w:color w:val="000000" w:themeColor="text1"/>
          <w:sz w:val="24"/>
          <w:szCs w:val="24"/>
        </w:rPr>
        <w:t xml:space="preserve">of </w:t>
      </w:r>
      <w:r w:rsidR="006E6B1E" w:rsidRPr="00D05EF6">
        <w:rPr>
          <w:b/>
          <w:bCs/>
          <w:color w:val="000000" w:themeColor="text1"/>
          <w:sz w:val="24"/>
          <w:szCs w:val="24"/>
        </w:rPr>
        <w:t>DEGs</w:t>
      </w:r>
    </w:p>
    <w:p w14:paraId="4894D9D4" w14:textId="2FEF1395" w:rsidR="006E6B1E" w:rsidRPr="00D05EF6" w:rsidRDefault="006E6B1E" w:rsidP="005F67C4">
      <w:pPr>
        <w:ind w:firstLineChars="200" w:firstLine="480"/>
        <w:jc w:val="left"/>
        <w:rPr>
          <w:color w:val="000000" w:themeColor="text1"/>
          <w:sz w:val="24"/>
          <w:szCs w:val="24"/>
        </w:rPr>
      </w:pPr>
      <w:r w:rsidRPr="00D05EF6">
        <w:rPr>
          <w:color w:val="000000" w:themeColor="text1"/>
          <w:sz w:val="24"/>
          <w:szCs w:val="24"/>
        </w:rPr>
        <w:t xml:space="preserve">To verify the accuracy of RNA-Seq results, a total of 13 DEGs involved in flavonoid, theanine, terpene, JA, and wax biosynthesis were selected for </w:t>
      </w:r>
      <w:proofErr w:type="spellStart"/>
      <w:r w:rsidRPr="00D05EF6">
        <w:rPr>
          <w:color w:val="000000" w:themeColor="text1"/>
          <w:sz w:val="24"/>
          <w:szCs w:val="24"/>
        </w:rPr>
        <w:t>qRT</w:t>
      </w:r>
      <w:proofErr w:type="spellEnd"/>
      <w:r w:rsidRPr="00D05EF6">
        <w:rPr>
          <w:color w:val="000000" w:themeColor="text1"/>
          <w:sz w:val="24"/>
          <w:szCs w:val="24"/>
        </w:rPr>
        <w:t xml:space="preserve">-PCR analysis. Gene specific primers were designed (Table S1). The </w:t>
      </w:r>
      <w:proofErr w:type="spellStart"/>
      <w:r w:rsidRPr="00D05EF6">
        <w:rPr>
          <w:color w:val="000000" w:themeColor="text1"/>
          <w:sz w:val="24"/>
          <w:szCs w:val="24"/>
        </w:rPr>
        <w:t>qRT</w:t>
      </w:r>
      <w:proofErr w:type="spellEnd"/>
      <w:r w:rsidRPr="00D05EF6">
        <w:rPr>
          <w:color w:val="000000" w:themeColor="text1"/>
          <w:sz w:val="24"/>
          <w:szCs w:val="24"/>
        </w:rPr>
        <w:t xml:space="preserve">-PCR was performed in a 20 </w:t>
      </w:r>
      <w:proofErr w:type="spellStart"/>
      <w:r w:rsidRPr="00D05EF6">
        <w:rPr>
          <w:color w:val="000000" w:themeColor="text1"/>
          <w:sz w:val="24"/>
          <w:szCs w:val="24"/>
        </w:rPr>
        <w:t>μl</w:t>
      </w:r>
      <w:proofErr w:type="spellEnd"/>
      <w:r w:rsidRPr="00D05EF6">
        <w:rPr>
          <w:color w:val="000000" w:themeColor="text1"/>
          <w:sz w:val="24"/>
          <w:szCs w:val="24"/>
        </w:rPr>
        <w:t xml:space="preserve"> reaction volume with 1.0 </w:t>
      </w:r>
      <w:proofErr w:type="spellStart"/>
      <w:r w:rsidRPr="00D05EF6">
        <w:rPr>
          <w:color w:val="000000" w:themeColor="text1"/>
          <w:sz w:val="24"/>
          <w:szCs w:val="24"/>
        </w:rPr>
        <w:t>μl</w:t>
      </w:r>
      <w:proofErr w:type="spellEnd"/>
      <w:r w:rsidRPr="00D05EF6">
        <w:rPr>
          <w:color w:val="000000" w:themeColor="text1"/>
          <w:sz w:val="24"/>
          <w:szCs w:val="24"/>
        </w:rPr>
        <w:t xml:space="preserve"> cDNA, 0.4 </w:t>
      </w:r>
      <w:proofErr w:type="spellStart"/>
      <w:r w:rsidRPr="00D05EF6">
        <w:rPr>
          <w:color w:val="000000" w:themeColor="text1"/>
          <w:sz w:val="24"/>
          <w:szCs w:val="24"/>
        </w:rPr>
        <w:t>μM</w:t>
      </w:r>
      <w:proofErr w:type="spellEnd"/>
      <w:r w:rsidRPr="00D05EF6">
        <w:rPr>
          <w:color w:val="000000" w:themeColor="text1"/>
          <w:sz w:val="24"/>
          <w:szCs w:val="24"/>
        </w:rPr>
        <w:t xml:space="preserve"> of each primer, and SYBR Premix EX Taq™ II (Takara) on a CFX96™ real-time PCR system (Bio-Rad, USA) under the following parameters: 95°C for 30 s, 40 cycles of 95°C for 5 </w:t>
      </w:r>
      <w:r w:rsidRPr="00D05EF6">
        <w:rPr>
          <w:color w:val="000000" w:themeColor="text1"/>
          <w:sz w:val="24"/>
          <w:szCs w:val="24"/>
        </w:rPr>
        <w:lastRenderedPageBreak/>
        <w:t xml:space="preserve">s and 60°C for 30 s. Reactions were run in triplicates. </w:t>
      </w:r>
      <w:r w:rsidRPr="003747FF">
        <w:rPr>
          <w:color w:val="000000" w:themeColor="text1"/>
          <w:sz w:val="24"/>
          <w:szCs w:val="24"/>
        </w:rPr>
        <w:t>GAPDH sequence (accession no. KA295375.1) from the tea plant was used as a reference gene</w:t>
      </w:r>
      <w:r w:rsidRPr="00D05EF6">
        <w:rPr>
          <w:color w:val="000000" w:themeColor="text1"/>
          <w:sz w:val="24"/>
          <w:szCs w:val="24"/>
        </w:rPr>
        <w:t>. Relative gene expression was calculated using the 2-ΔΔCt method (</w:t>
      </w:r>
      <w:proofErr w:type="spellStart"/>
      <w:r w:rsidRPr="00D05EF6">
        <w:rPr>
          <w:color w:val="000000" w:themeColor="text1"/>
          <w:sz w:val="24"/>
          <w:szCs w:val="24"/>
        </w:rPr>
        <w:t>Livak</w:t>
      </w:r>
      <w:proofErr w:type="spellEnd"/>
      <w:r w:rsidRPr="00D05EF6">
        <w:rPr>
          <w:color w:val="000000" w:themeColor="text1"/>
          <w:sz w:val="24"/>
          <w:szCs w:val="24"/>
        </w:rPr>
        <w:t xml:space="preserve"> and </w:t>
      </w:r>
      <w:proofErr w:type="spellStart"/>
      <w:r w:rsidRPr="00D05EF6">
        <w:rPr>
          <w:color w:val="000000" w:themeColor="text1"/>
          <w:sz w:val="24"/>
          <w:szCs w:val="24"/>
        </w:rPr>
        <w:t>Schmittgen</w:t>
      </w:r>
      <w:proofErr w:type="spellEnd"/>
      <w:r w:rsidRPr="00D05EF6">
        <w:rPr>
          <w:color w:val="000000" w:themeColor="text1"/>
          <w:sz w:val="24"/>
          <w:szCs w:val="24"/>
        </w:rPr>
        <w:t>, 2001). No-template controls were included in each run.</w:t>
      </w:r>
    </w:p>
    <w:p w14:paraId="0D45ADF4" w14:textId="77777777" w:rsidR="000F4B46" w:rsidRPr="00D05EF6" w:rsidRDefault="000F4B46" w:rsidP="002C70D2">
      <w:pPr>
        <w:spacing w:line="480" w:lineRule="auto"/>
        <w:jc w:val="left"/>
        <w:rPr>
          <w:rFonts w:ascii="Times New Roman" w:hAnsi="Times New Roman" w:cs="Times New Roman"/>
          <w:color w:val="000000" w:themeColor="text1"/>
          <w:sz w:val="24"/>
          <w:szCs w:val="24"/>
        </w:rPr>
      </w:pPr>
    </w:p>
    <w:sectPr w:rsidR="000F4B46" w:rsidRPr="00D05EF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A52FE" w14:textId="77777777" w:rsidR="004E2B41" w:rsidRDefault="004E2B41" w:rsidP="006E6B1E">
      <w:r>
        <w:separator/>
      </w:r>
    </w:p>
  </w:endnote>
  <w:endnote w:type="continuationSeparator" w:id="0">
    <w:p w14:paraId="71D67534" w14:textId="77777777" w:rsidR="004E2B41" w:rsidRDefault="004E2B41" w:rsidP="006E6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D10C0" w14:textId="77777777" w:rsidR="004E2B41" w:rsidRDefault="004E2B41" w:rsidP="006E6B1E">
      <w:r>
        <w:separator/>
      </w:r>
    </w:p>
  </w:footnote>
  <w:footnote w:type="continuationSeparator" w:id="0">
    <w:p w14:paraId="75C8A345" w14:textId="77777777" w:rsidR="004E2B41" w:rsidRDefault="004E2B41" w:rsidP="006E6B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1C346E"/>
    <w:multiLevelType w:val="hybridMultilevel"/>
    <w:tmpl w:val="5AA4AE38"/>
    <w:lvl w:ilvl="0" w:tplc="FA74D77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5F4D491C"/>
    <w:multiLevelType w:val="multilevel"/>
    <w:tmpl w:val="85F2FBD8"/>
    <w:lvl w:ilvl="0">
      <w:start w:val="1"/>
      <w:numFmt w:val="decimal"/>
      <w:lvlText w:val="%1."/>
      <w:lvlJc w:val="left"/>
      <w:pPr>
        <w:ind w:left="360" w:hanging="360"/>
      </w:pPr>
      <w:rPr>
        <w:rFonts w:hint="default"/>
      </w:rPr>
    </w:lvl>
    <w:lvl w:ilvl="1">
      <w:start w:val="4"/>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16cid:durableId="747729585">
    <w:abstractNumId w:val="1"/>
  </w:num>
  <w:num w:numId="2" w16cid:durableId="502286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574"/>
    <w:rsid w:val="000350F7"/>
    <w:rsid w:val="000C05C3"/>
    <w:rsid w:val="000C6363"/>
    <w:rsid w:val="000F4B46"/>
    <w:rsid w:val="00152043"/>
    <w:rsid w:val="001561AB"/>
    <w:rsid w:val="001C0F2D"/>
    <w:rsid w:val="001E684D"/>
    <w:rsid w:val="0027323C"/>
    <w:rsid w:val="00280EAD"/>
    <w:rsid w:val="002A13AD"/>
    <w:rsid w:val="002C3640"/>
    <w:rsid w:val="002C70D2"/>
    <w:rsid w:val="002E5E6A"/>
    <w:rsid w:val="002F1C79"/>
    <w:rsid w:val="0030674B"/>
    <w:rsid w:val="00326225"/>
    <w:rsid w:val="003326E7"/>
    <w:rsid w:val="00364AF2"/>
    <w:rsid w:val="003747FF"/>
    <w:rsid w:val="003A7D24"/>
    <w:rsid w:val="003E13C2"/>
    <w:rsid w:val="00423BBA"/>
    <w:rsid w:val="00454151"/>
    <w:rsid w:val="0047795B"/>
    <w:rsid w:val="004B5576"/>
    <w:rsid w:val="004D77D8"/>
    <w:rsid w:val="004E2B41"/>
    <w:rsid w:val="004F19E4"/>
    <w:rsid w:val="004F3DAE"/>
    <w:rsid w:val="005210C9"/>
    <w:rsid w:val="00533AA5"/>
    <w:rsid w:val="00540D1A"/>
    <w:rsid w:val="00564DC0"/>
    <w:rsid w:val="00590527"/>
    <w:rsid w:val="005C3FF2"/>
    <w:rsid w:val="005E4A0E"/>
    <w:rsid w:val="005F67C4"/>
    <w:rsid w:val="00665F15"/>
    <w:rsid w:val="00671AC1"/>
    <w:rsid w:val="006B73EC"/>
    <w:rsid w:val="006C1728"/>
    <w:rsid w:val="006D0646"/>
    <w:rsid w:val="006E6B1E"/>
    <w:rsid w:val="006F3274"/>
    <w:rsid w:val="00703AFF"/>
    <w:rsid w:val="00704574"/>
    <w:rsid w:val="00763C2F"/>
    <w:rsid w:val="0077291A"/>
    <w:rsid w:val="007A1441"/>
    <w:rsid w:val="007B56ED"/>
    <w:rsid w:val="007C3E2C"/>
    <w:rsid w:val="007D098D"/>
    <w:rsid w:val="007E35CC"/>
    <w:rsid w:val="007F7001"/>
    <w:rsid w:val="008338D0"/>
    <w:rsid w:val="00844406"/>
    <w:rsid w:val="00852478"/>
    <w:rsid w:val="008A33F3"/>
    <w:rsid w:val="008F63EC"/>
    <w:rsid w:val="00933D80"/>
    <w:rsid w:val="00960DCA"/>
    <w:rsid w:val="009A11D8"/>
    <w:rsid w:val="009A5727"/>
    <w:rsid w:val="009D444D"/>
    <w:rsid w:val="009E04EA"/>
    <w:rsid w:val="009E3729"/>
    <w:rsid w:val="00A05E1D"/>
    <w:rsid w:val="00A631C5"/>
    <w:rsid w:val="00A67849"/>
    <w:rsid w:val="00A84E25"/>
    <w:rsid w:val="00AC0CDC"/>
    <w:rsid w:val="00AF2EAF"/>
    <w:rsid w:val="00AF7614"/>
    <w:rsid w:val="00B34119"/>
    <w:rsid w:val="00B6700D"/>
    <w:rsid w:val="00BC1C36"/>
    <w:rsid w:val="00BF20DE"/>
    <w:rsid w:val="00C00C6B"/>
    <w:rsid w:val="00C05EA0"/>
    <w:rsid w:val="00C579FB"/>
    <w:rsid w:val="00CB5224"/>
    <w:rsid w:val="00CE063B"/>
    <w:rsid w:val="00CE39F8"/>
    <w:rsid w:val="00D05EF6"/>
    <w:rsid w:val="00D106EA"/>
    <w:rsid w:val="00D46D65"/>
    <w:rsid w:val="00D63AAF"/>
    <w:rsid w:val="00DB1134"/>
    <w:rsid w:val="00DD3D68"/>
    <w:rsid w:val="00DE3E51"/>
    <w:rsid w:val="00DF04EC"/>
    <w:rsid w:val="00DF5145"/>
    <w:rsid w:val="00E545BD"/>
    <w:rsid w:val="00F13DEE"/>
    <w:rsid w:val="00F65993"/>
    <w:rsid w:val="00F703ED"/>
    <w:rsid w:val="00F70E2F"/>
    <w:rsid w:val="00F91843"/>
    <w:rsid w:val="00FA59EE"/>
    <w:rsid w:val="00FB7B14"/>
    <w:rsid w:val="00FC63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6EDBF3"/>
  <w15:chartTrackingRefBased/>
  <w15:docId w15:val="{A850480F-7A6C-4D1F-BF28-3E5D2E001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457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4AF2"/>
    <w:pPr>
      <w:ind w:firstLineChars="200" w:firstLine="420"/>
    </w:pPr>
  </w:style>
  <w:style w:type="paragraph" w:styleId="a4">
    <w:name w:val="header"/>
    <w:basedOn w:val="a"/>
    <w:link w:val="a5"/>
    <w:uiPriority w:val="99"/>
    <w:unhideWhenUsed/>
    <w:rsid w:val="006E6B1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6E6B1E"/>
    <w:rPr>
      <w:sz w:val="18"/>
      <w:szCs w:val="18"/>
    </w:rPr>
  </w:style>
  <w:style w:type="paragraph" w:styleId="a6">
    <w:name w:val="footer"/>
    <w:basedOn w:val="a"/>
    <w:link w:val="a7"/>
    <w:uiPriority w:val="99"/>
    <w:unhideWhenUsed/>
    <w:rsid w:val="006E6B1E"/>
    <w:pPr>
      <w:tabs>
        <w:tab w:val="center" w:pos="4153"/>
        <w:tab w:val="right" w:pos="8306"/>
      </w:tabs>
      <w:snapToGrid w:val="0"/>
      <w:jc w:val="left"/>
    </w:pPr>
    <w:rPr>
      <w:sz w:val="18"/>
      <w:szCs w:val="18"/>
    </w:rPr>
  </w:style>
  <w:style w:type="character" w:customStyle="1" w:styleId="a7">
    <w:name w:val="页脚 字符"/>
    <w:basedOn w:val="a0"/>
    <w:link w:val="a6"/>
    <w:uiPriority w:val="99"/>
    <w:rsid w:val="006E6B1E"/>
    <w:rPr>
      <w:sz w:val="18"/>
      <w:szCs w:val="18"/>
    </w:rPr>
  </w:style>
  <w:style w:type="character" w:styleId="a8">
    <w:name w:val="Hyperlink"/>
    <w:basedOn w:val="a0"/>
    <w:uiPriority w:val="99"/>
    <w:semiHidden/>
    <w:unhideWhenUsed/>
    <w:rsid w:val="006F3274"/>
    <w:rPr>
      <w:color w:val="0000FF"/>
      <w:u w:val="single"/>
    </w:rPr>
  </w:style>
  <w:style w:type="table" w:styleId="a9">
    <w:name w:val="Table Grid"/>
    <w:basedOn w:val="a1"/>
    <w:uiPriority w:val="39"/>
    <w:qFormat/>
    <w:rsid w:val="008A33F3"/>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图表题头"/>
    <w:basedOn w:val="a"/>
    <w:link w:val="10"/>
    <w:qFormat/>
    <w:rsid w:val="008A33F3"/>
    <w:pPr>
      <w:widowControl/>
      <w:autoSpaceDE w:val="0"/>
      <w:spacing w:line="360" w:lineRule="auto"/>
      <w:ind w:firstLineChars="200" w:firstLine="200"/>
      <w:jc w:val="center"/>
    </w:pPr>
    <w:rPr>
      <w:rFonts w:ascii="Times New Roman" w:eastAsia="宋体" w:hAnsi="Times New Roman" w:cs="Times New Roman"/>
      <w:b/>
      <w:color w:val="000000"/>
      <w:kern w:val="0"/>
      <w:szCs w:val="24"/>
    </w:rPr>
  </w:style>
  <w:style w:type="character" w:customStyle="1" w:styleId="10">
    <w:name w:val="1图表题头 字符"/>
    <w:basedOn w:val="a0"/>
    <w:link w:val="1"/>
    <w:qFormat/>
    <w:rsid w:val="008A33F3"/>
    <w:rPr>
      <w:rFonts w:ascii="Times New Roman" w:eastAsia="宋体" w:hAnsi="Times New Roman" w:cs="Times New Roman"/>
      <w:b/>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48439">
      <w:bodyDiv w:val="1"/>
      <w:marLeft w:val="0"/>
      <w:marRight w:val="0"/>
      <w:marTop w:val="0"/>
      <w:marBottom w:val="0"/>
      <w:divBdr>
        <w:top w:val="none" w:sz="0" w:space="0" w:color="auto"/>
        <w:left w:val="none" w:sz="0" w:space="0" w:color="auto"/>
        <w:bottom w:val="none" w:sz="0" w:space="0" w:color="auto"/>
        <w:right w:val="none" w:sz="0" w:space="0" w:color="auto"/>
      </w:divBdr>
    </w:div>
    <w:div w:id="662659635">
      <w:bodyDiv w:val="1"/>
      <w:marLeft w:val="0"/>
      <w:marRight w:val="0"/>
      <w:marTop w:val="0"/>
      <w:marBottom w:val="0"/>
      <w:divBdr>
        <w:top w:val="none" w:sz="0" w:space="0" w:color="auto"/>
        <w:left w:val="none" w:sz="0" w:space="0" w:color="auto"/>
        <w:bottom w:val="none" w:sz="0" w:space="0" w:color="auto"/>
        <w:right w:val="none" w:sz="0" w:space="0" w:color="auto"/>
      </w:divBdr>
    </w:div>
    <w:div w:id="110496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iex.com.cn/" TargetMode="External"/><Relationship Id="rId3" Type="http://schemas.openxmlformats.org/officeDocument/2006/relationships/settings" Target="settings.xml"/><Relationship Id="rId7" Type="http://schemas.openxmlformats.org/officeDocument/2006/relationships/hyperlink" Target="http://www.metware.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2366</TotalTime>
  <Pages>8</Pages>
  <Words>1728</Words>
  <Characters>9851</Characters>
  <Application>Microsoft Office Word</Application>
  <DocSecurity>0</DocSecurity>
  <Lines>82</Lines>
  <Paragraphs>23</Paragraphs>
  <ScaleCrop>false</ScaleCrop>
  <Company/>
  <LinksUpToDate>false</LinksUpToDate>
  <CharactersWithSpaces>11556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W</cp:lastModifiedBy>
  <cp:revision>74</cp:revision>
  <dcterms:created xsi:type="dcterms:W3CDTF">2022-07-12T13:41:00Z</dcterms:created>
  <dcterms:modified xsi:type="dcterms:W3CDTF">2023-04-26T00:47:00Z</dcterms:modified>
</cp:coreProperties>
</file>