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8D0" w:rsidRDefault="006F08D0" w:rsidP="006F08D0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Appendix</w:t>
      </w:r>
    </w:p>
    <w:p w:rsidR="006F08D0" w:rsidRDefault="006F08D0" w:rsidP="006F08D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For amplification of the respective DNA sequence, polymerase chain reaction (PCR) was conducted in a Mastercycler epgradient from Eppendorf (Hamburg, Germany) by use of the phusion PCR polymerase (5 U/μL; Thermo, C.O., Germany) with a PCR mixture containing 14.5 μL of H</w:t>
      </w:r>
      <w:r>
        <w:rPr>
          <w:rFonts w:ascii="Times New Roman" w:eastAsia="宋体" w:hAnsi="Times New Roman" w:cs="Times New Roman"/>
          <w:sz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</w:rPr>
        <w:t>O, 5 μL of reaction buffer, 2 μL of deoxyribonucleotide triphosphate (2.5 mmol/L), 0.5 μL of polymerase, 1 μL of primer mix (5 pmol/μL; forward and reverse), and 1 μL of genomic DNA. Then nested PCR was conducted with a PCR mixture containing 15.5 μL of H</w:t>
      </w:r>
      <w:r>
        <w:rPr>
          <w:rFonts w:ascii="Times New Roman" w:eastAsia="宋体" w:hAnsi="Times New Roman" w:cs="Times New Roman"/>
          <w:sz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</w:rPr>
        <w:t>O, 5 μL of reaction buffer, 2 μL of deoxyribonucleotide triphosphate (2.5 mmol/L), 0.5 μL of Taq polymerase, 1 μL of primer mix (5 pmol/μL; forward and reverse), and 1 μL of above PCR production.</w:t>
      </w:r>
    </w:p>
    <w:p w:rsidR="006F08D0" w:rsidRDefault="006F08D0" w:rsidP="006F08D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 xml:space="preserve">Extracted DNA from precipitation material was employed at a concentration of 50 ng/μL. PCR amplification was performed for 5 primer pairs of </w:t>
      </w:r>
      <w:r>
        <w:rPr>
          <w:rFonts w:ascii="Times New Roman" w:eastAsia="宋体" w:hAnsi="Times New Roman" w:cs="Times New Roman"/>
          <w:i/>
          <w:sz w:val="24"/>
        </w:rPr>
        <w:t>MYC</w:t>
      </w:r>
      <w:r>
        <w:rPr>
          <w:rFonts w:ascii="Times New Roman" w:eastAsia="宋体" w:hAnsi="Times New Roman" w:cs="Times New Roman"/>
          <w:sz w:val="24"/>
        </w:rPr>
        <w:t xml:space="preserve">, whereas for </w:t>
      </w:r>
      <w:r>
        <w:rPr>
          <w:rFonts w:ascii="Times New Roman" w:eastAsia="宋体" w:hAnsi="Times New Roman" w:cs="Times New Roman"/>
          <w:i/>
          <w:sz w:val="24"/>
        </w:rPr>
        <w:t>TP53</w:t>
      </w:r>
      <w:r>
        <w:rPr>
          <w:rFonts w:ascii="Times New Roman" w:eastAsia="宋体" w:hAnsi="Times New Roman" w:cs="Times New Roman"/>
          <w:sz w:val="24"/>
        </w:rPr>
        <w:t xml:space="preserve">, six primer pairs were used to amplify the entire coding sequence. Oligonucleotide sequences are given in Table </w:t>
      </w:r>
      <w:r w:rsidR="007A764D">
        <w:rPr>
          <w:rFonts w:ascii="Times New Roman" w:eastAsia="宋体" w:hAnsi="Times New Roman" w:cs="Times New Roman"/>
          <w:sz w:val="24"/>
        </w:rPr>
        <w:t>S1</w:t>
      </w:r>
      <w:r>
        <w:rPr>
          <w:rFonts w:ascii="Times New Roman" w:eastAsia="宋体" w:hAnsi="Times New Roman" w:cs="Times New Roman"/>
          <w:sz w:val="24"/>
        </w:rPr>
        <w:t>.</w:t>
      </w:r>
    </w:p>
    <w:p w:rsidR="007A764D" w:rsidRDefault="007A764D" w:rsidP="007A764D">
      <w:pPr>
        <w:spacing w:line="360" w:lineRule="auto"/>
        <w:ind w:firstLineChars="450" w:firstLine="949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bCs/>
          <w:szCs w:val="21"/>
        </w:rPr>
        <w:t>Table S1</w:t>
      </w:r>
      <w:r w:rsidRPr="00921B56">
        <w:rPr>
          <w:rFonts w:ascii="Times New Roman" w:eastAsia="宋体" w:hAnsi="Times New Roman" w:cs="Times New Roman"/>
          <w:bCs/>
          <w:szCs w:val="21"/>
        </w:rPr>
        <w:t xml:space="preserve"> Primer Sequences</w:t>
      </w:r>
      <w:bookmarkStart w:id="0" w:name="_GoBack"/>
      <w:bookmarkEnd w:id="0"/>
    </w:p>
    <w:tbl>
      <w:tblPr>
        <w:tblStyle w:val="a3"/>
        <w:tblW w:w="6379" w:type="dxa"/>
        <w:tblInd w:w="969" w:type="dxa"/>
        <w:tblLayout w:type="fixed"/>
        <w:tblLook w:val="04A0" w:firstRow="1" w:lastRow="0" w:firstColumn="1" w:lastColumn="0" w:noHBand="0" w:noVBand="1"/>
      </w:tblPr>
      <w:tblGrid>
        <w:gridCol w:w="1985"/>
        <w:gridCol w:w="4394"/>
      </w:tblGrid>
      <w:tr w:rsidR="006F08D0" w:rsidTr="009F28D9"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6F08D0" w:rsidRDefault="006F08D0" w:rsidP="009F28D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Primer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6F08D0" w:rsidRDefault="006F08D0" w:rsidP="009F28D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Sequence</w:t>
            </w:r>
          </w:p>
        </w:tc>
      </w:tr>
      <w:tr w:rsidR="006F08D0" w:rsidTr="009F28D9"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MYC primers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Myc1-F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Myc1-R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Myc2-F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Myc2-R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Myc2a-F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Myc2a-R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Myc2b-F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Myc2b-R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Myc3-F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Myc3-R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5’-GAGGCTATTCTGCCCATTTG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5’-GCATTCGACTCATCTCAGCA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5’-GATAGCAGGGGACTGTCCAA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5’-AAGCCCAAGGTTTCAGAGGT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5’-GATAGCAGGGGACTGTCCAA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5’-GCTGTCGTTGAGAGGGTAGG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5’-GGAAGAAATTCGAGCTGCTG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5’-AAGCCCAAGGTTTCAGAGGT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5’-CAGGATGGTCTCTCCTGACC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5’-CTCAGCCAAGGTTGTGAGGT</w:t>
            </w:r>
          </w:p>
        </w:tc>
      </w:tr>
      <w:tr w:rsidR="006F08D0" w:rsidTr="009F28D9"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TP53 primers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1 F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1 R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2 F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2 R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3 F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3 R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4 F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TP53 4 R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5 F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5 R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6 F</w:t>
            </w:r>
          </w:p>
          <w:p w:rsidR="006F08D0" w:rsidRDefault="006F08D0" w:rsidP="009F28D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6 R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5’-CCTGGTCCTCTGACTGCTCT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5’-AGGGTGTGATGGGATGGATA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5’-GTTTCTTTGCTGCCGTCTTC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5’-CTTAACCCCTCCTCCCAGAG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5’-GGAGGCTGAGGAAGGAHAAT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5’-TCCCAAAGCCAGAGAAAAGA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5’-CAAGGGTGGTTGGGAGTAGA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5’-TGTCTTTGAGGCATCACTGC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5’-GAGGCTGAGGCACAAGAATC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5’-GAAGGCAGGATGAGAATGGA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5’-TGTCATCTCTCCTCCCTGCT</w:t>
            </w:r>
          </w:p>
          <w:p w:rsidR="006F08D0" w:rsidRDefault="006F08D0" w:rsidP="009F28D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5’-CCACAACAAAACACCAGTGC</w:t>
            </w:r>
          </w:p>
        </w:tc>
      </w:tr>
    </w:tbl>
    <w:p w:rsidR="006F08D0" w:rsidRDefault="006F08D0" w:rsidP="006F08D0">
      <w:pPr>
        <w:spacing w:line="360" w:lineRule="auto"/>
        <w:ind w:firstLineChars="600" w:firstLine="1080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lastRenderedPageBreak/>
        <w:t>Note: F, forward; R, reverse</w:t>
      </w:r>
    </w:p>
    <w:p w:rsidR="006F08D0" w:rsidRDefault="006F08D0" w:rsidP="006F08D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A touchdown PCR program was used to enrich specific PCR products in the first cycles with a high annealing temperature and then amplify these products in further cycles with a lower annealing temperature. The exact PCR program was as follows: 30 cycles with 10 seconds at 98.0°C, 15 seconds at 60°C, and 4 minutes at 68°C. The nested PCR program was as followed by 35 cycles with 10 seconds at 98.0°C, 15 seconds at 60.0°C, and 40 seconds at 68.0°C, and a final extension for 2 minutes at 68.0°C. PCR products were visualized by gel electrophoresis using a 2% agarose gel and purified by use of the Marligen PCR Purification System (BioCat, Heidelberg, Germany) according to the manufacturer's instructions.</w:t>
      </w:r>
    </w:p>
    <w:p w:rsidR="00C36433" w:rsidRPr="006F08D0" w:rsidRDefault="00C36433" w:rsidP="006F08D0"/>
    <w:sectPr w:rsidR="00C36433" w:rsidRPr="006F08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EFB" w:rsidRDefault="00C35EFB" w:rsidP="007A764D">
      <w:r>
        <w:separator/>
      </w:r>
    </w:p>
  </w:endnote>
  <w:endnote w:type="continuationSeparator" w:id="0">
    <w:p w:rsidR="00C35EFB" w:rsidRDefault="00C35EFB" w:rsidP="007A7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EFB" w:rsidRDefault="00C35EFB" w:rsidP="007A764D">
      <w:r>
        <w:separator/>
      </w:r>
    </w:p>
  </w:footnote>
  <w:footnote w:type="continuationSeparator" w:id="0">
    <w:p w:rsidR="00C35EFB" w:rsidRDefault="00C35EFB" w:rsidP="007A76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8D0"/>
    <w:rsid w:val="006F08D0"/>
    <w:rsid w:val="007A764D"/>
    <w:rsid w:val="00857586"/>
    <w:rsid w:val="00C35EFB"/>
    <w:rsid w:val="00C3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6D122F-8EDB-41AC-9938-2CB707BD0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8D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F08D0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A76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764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76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76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</dc:creator>
  <cp:keywords/>
  <dc:description/>
  <cp:lastModifiedBy>wen</cp:lastModifiedBy>
  <cp:revision>3</cp:revision>
  <dcterms:created xsi:type="dcterms:W3CDTF">2020-05-18T01:49:00Z</dcterms:created>
  <dcterms:modified xsi:type="dcterms:W3CDTF">2020-05-18T03:27:00Z</dcterms:modified>
</cp:coreProperties>
</file>