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Times New Roman" w:hAnsi="Times New Roman"/>
          <w:b/>
          <w:i/>
          <w:iCs/>
          <w:sz w:val="32"/>
          <w:szCs w:val="28"/>
        </w:rPr>
      </w:pPr>
      <w:r>
        <w:rPr>
          <w:rFonts w:ascii="Times New Roman" w:hAnsi="Times New Roman"/>
          <w:b/>
          <w:i/>
          <w:iCs/>
          <w:sz w:val="32"/>
          <w:szCs w:val="28"/>
        </w:rPr>
        <w:t>Supplementary Material</w:t>
      </w:r>
    </w:p>
    <w:p>
      <w:pPr>
        <w:spacing w:line="360" w:lineRule="auto"/>
        <w:jc w:val="lef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Adaptability </w:t>
      </w:r>
      <w:r>
        <w:rPr>
          <w:rFonts w:ascii="Times New Roman" w:hAnsi="Times New Roman" w:cs="Times New Roman"/>
          <w:b/>
          <w:bCs/>
          <w:sz w:val="24"/>
          <w:szCs w:val="28"/>
        </w:rPr>
        <w:t>analysis</w:t>
      </w:r>
      <w:r>
        <w:rPr>
          <w:rFonts w:ascii="Times New Roman" w:hAnsi="Times New Roman"/>
          <w:b/>
          <w:sz w:val="24"/>
        </w:rPr>
        <w:t xml:space="preserve"> of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the</w:t>
      </w:r>
      <w:r>
        <w:rPr>
          <w:rFonts w:ascii="Times New Roman" w:hAnsi="Times New Roman"/>
          <w:b/>
          <w:sz w:val="24"/>
        </w:rPr>
        <w:t xml:space="preserve"> ceftriaxone-resistant </w:t>
      </w:r>
      <w:r>
        <w:rPr>
          <w:rFonts w:ascii="Times New Roman" w:hAnsi="Times New Roman"/>
          <w:b/>
          <w:i/>
          <w:sz w:val="24"/>
        </w:rPr>
        <w:t>Neisseria gonorrhoeae</w:t>
      </w:r>
      <w:r>
        <w:rPr>
          <w:rFonts w:ascii="Times New Roman" w:hAnsi="Times New Roman"/>
          <w:b/>
          <w:sz w:val="24"/>
        </w:rPr>
        <w:t xml:space="preserve"> FC428 clone in China</w:t>
      </w:r>
    </w:p>
    <w:p>
      <w:pPr>
        <w:spacing w:line="360" w:lineRule="auto"/>
        <w:jc w:val="lef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Running title: </w:t>
      </w:r>
      <w:r>
        <w:rPr>
          <w:rFonts w:ascii="Times New Roman" w:hAnsi="Times New Roman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Adaptability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analysis</w:t>
      </w:r>
      <w:r>
        <w:rPr>
          <w:rFonts w:ascii="Times New Roman" w:hAnsi="Times New Roman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of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 xml:space="preserve"> the</w:t>
      </w:r>
      <w:r>
        <w:rPr>
          <w:rFonts w:ascii="Times New Roman" w:hAnsi="Times New Roman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FC428 clone</w:t>
      </w:r>
      <w:bookmarkStart w:id="0" w:name="_GoBack"/>
      <w:bookmarkEnd w:id="0"/>
    </w:p>
    <w:p>
      <w:pPr>
        <w:spacing w:line="360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Yamei Li</w:t>
      </w:r>
      <w:r>
        <w:rPr>
          <w:rFonts w:ascii="Times New Roman" w:hAnsi="Times New Roman"/>
          <w:sz w:val="28"/>
          <w:szCs w:val="28"/>
          <w:vertAlign w:val="superscript"/>
        </w:rPr>
        <w:t>1,2</w:t>
      </w:r>
      <w:r>
        <w:rPr>
          <w:rFonts w:hint="eastAsia" w:ascii="Times New Roman" w:hAnsi="Times New Roman"/>
          <w:sz w:val="28"/>
          <w:szCs w:val="28"/>
        </w:rPr>
        <w:t>†</w:t>
      </w:r>
      <w:r>
        <w:rPr>
          <w:rFonts w:ascii="Times New Roman" w:hAnsi="Times New Roman"/>
          <w:sz w:val="28"/>
          <w:szCs w:val="28"/>
        </w:rPr>
        <w:t>, Yang Yang</w:t>
      </w:r>
      <w:r>
        <w:rPr>
          <w:rFonts w:ascii="Times New Roman" w:hAnsi="Times New Roman"/>
          <w:sz w:val="28"/>
          <w:szCs w:val="28"/>
          <w:vertAlign w:val="superscript"/>
        </w:rPr>
        <w:t>3</w:t>
      </w:r>
      <w:r>
        <w:rPr>
          <w:rFonts w:hint="eastAsia" w:ascii="Times New Roman" w:hAnsi="Times New Roman"/>
          <w:sz w:val="28"/>
          <w:szCs w:val="28"/>
        </w:rPr>
        <w:t>†</w:t>
      </w:r>
      <w:r>
        <w:rPr>
          <w:rFonts w:ascii="Times New Roman" w:hAnsi="Times New Roman"/>
          <w:sz w:val="28"/>
          <w:szCs w:val="28"/>
        </w:rPr>
        <w:t>,</w:t>
      </w:r>
      <w:r>
        <w:t xml:space="preserve"> </w:t>
      </w:r>
      <w:r>
        <w:rPr>
          <w:rFonts w:ascii="Times New Roman" w:hAnsi="Times New Roman"/>
          <w:sz w:val="28"/>
          <w:szCs w:val="28"/>
        </w:rPr>
        <w:t>Wenling Cao</w:t>
      </w:r>
      <w:r>
        <w:rPr>
          <w:rFonts w:ascii="Times New Roman" w:hAnsi="Times New Roman"/>
          <w:sz w:val="28"/>
          <w:szCs w:val="28"/>
          <w:vertAlign w:val="superscript"/>
        </w:rPr>
        <w:t>4</w:t>
      </w:r>
      <w:r>
        <w:rPr>
          <w:rFonts w:hint="eastAsia" w:ascii="Times New Roman" w:hAnsi="Times New Roman"/>
          <w:sz w:val="28"/>
          <w:szCs w:val="28"/>
        </w:rPr>
        <w:t>†</w:t>
      </w:r>
      <w:r>
        <w:rPr>
          <w:rFonts w:ascii="Times New Roman" w:hAnsi="Times New Roman"/>
          <w:sz w:val="28"/>
          <w:szCs w:val="28"/>
        </w:rPr>
        <w:t>, Leshan Xiu</w:t>
      </w:r>
      <w:r>
        <w:rPr>
          <w:rFonts w:ascii="Times New Roman" w:hAnsi="Times New Roman"/>
          <w:sz w:val="28"/>
          <w:szCs w:val="28"/>
          <w:vertAlign w:val="superscript"/>
        </w:rPr>
        <w:t>5</w:t>
      </w:r>
      <w:r>
        <w:rPr>
          <w:rFonts w:ascii="Times New Roman" w:hAnsi="Times New Roman"/>
          <w:sz w:val="28"/>
          <w:szCs w:val="28"/>
        </w:rPr>
        <w:t>, Di Wang</w:t>
      </w:r>
      <w:r>
        <w:rPr>
          <w:rFonts w:ascii="Times New Roman" w:hAnsi="Times New Roman"/>
          <w:sz w:val="28"/>
          <w:szCs w:val="28"/>
          <w:vertAlign w:val="superscript"/>
        </w:rPr>
        <w:t>1,6</w:t>
      </w:r>
      <w:r>
        <w:rPr>
          <w:rFonts w:ascii="Times New Roman" w:hAnsi="Times New Roman"/>
          <w:sz w:val="28"/>
          <w:szCs w:val="28"/>
        </w:rPr>
        <w:t>, Weiming Gu</w:t>
      </w:r>
      <w:r>
        <w:rPr>
          <w:rFonts w:ascii="Times New Roman" w:hAnsi="Times New Roman"/>
          <w:sz w:val="28"/>
          <w:szCs w:val="28"/>
          <w:vertAlign w:val="superscript"/>
        </w:rPr>
        <w:t>3</w:t>
      </w:r>
      <w:r>
        <w:rPr>
          <w:rFonts w:hint="eastAsia" w:ascii="Times New Roman" w:hAnsi="Times New Roman"/>
          <w:sz w:val="28"/>
          <w:szCs w:val="28"/>
        </w:rPr>
        <w:t>††*</w:t>
      </w:r>
      <w:r>
        <w:rPr>
          <w:rFonts w:ascii="Times New Roman" w:hAnsi="Times New Roman"/>
          <w:sz w:val="28"/>
          <w:szCs w:val="28"/>
        </w:rPr>
        <w:t>, Junping Peng</w:t>
      </w:r>
      <w:r>
        <w:rPr>
          <w:rFonts w:ascii="Times New Roman" w:hAnsi="Times New Roman"/>
          <w:sz w:val="28"/>
          <w:szCs w:val="28"/>
          <w:vertAlign w:val="superscript"/>
        </w:rPr>
        <w:t>1,6</w:t>
      </w:r>
      <w:r>
        <w:rPr>
          <w:rFonts w:hint="eastAsia" w:ascii="Times New Roman" w:hAnsi="Times New Roman"/>
          <w:sz w:val="28"/>
          <w:szCs w:val="28"/>
        </w:rPr>
        <w:t>††*</w:t>
      </w:r>
    </w:p>
    <w:p>
      <w:pPr>
        <w:spacing w:line="360" w:lineRule="auto"/>
        <w:jc w:val="lef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>NHC Key Laboratory of Systems Biology of Pathogens, Institute of Pathogen Biology, Chinese Academy of Medical Sciences &amp; Peking Union Medical College, Beijing, China</w:t>
      </w:r>
    </w:p>
    <w:p>
      <w:pPr>
        <w:spacing w:line="360" w:lineRule="auto"/>
        <w:jc w:val="lef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2.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>Department of Laboratory Medicine, The First Affiliated Hospital of USTC, Division of Life Sciences and Medicine, University of Science and Technology of China</w:t>
      </w:r>
    </w:p>
    <w:p>
      <w:pPr>
        <w:spacing w:line="360" w:lineRule="auto"/>
        <w:jc w:val="lef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3.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>Shanghai Skin Disease Hospital, Tongji University School of Medicine, Shanghai, China</w:t>
      </w:r>
    </w:p>
    <w:p>
      <w:pPr>
        <w:spacing w:line="360" w:lineRule="auto"/>
        <w:jc w:val="lef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4.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>Guangzhou Institute of Dermatology, Guangzhou, China</w:t>
      </w:r>
    </w:p>
    <w:p>
      <w:pPr>
        <w:spacing w:line="360" w:lineRule="auto"/>
        <w:jc w:val="lef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5.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>School of Global Health, Chinese Center for Tropical Diseases Research, Shanghai Jiao Tong University School of Medicine, Shanghai, China</w:t>
      </w:r>
    </w:p>
    <w:p>
      <w:pPr>
        <w:spacing w:line="360" w:lineRule="auto"/>
        <w:jc w:val="lef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6.</w:t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>Key Laboratory of Respiratory Disease Pathogenomics, Chinese Academy of Medical Sciences and Peking Union Medical College, Beijing, China</w:t>
      </w:r>
    </w:p>
    <w:p>
      <w:pPr>
        <w:spacing w:line="360" w:lineRule="auto"/>
        <w:jc w:val="left"/>
        <w:rPr>
          <w:rFonts w:ascii="Times New Roman" w:hAnsi="Times New Roman" w:cs="Times New Roman"/>
          <w:sz w:val="24"/>
          <w:szCs w:val="28"/>
        </w:rPr>
      </w:pPr>
    </w:p>
    <w:p>
      <w:pPr>
        <w:spacing w:line="360" w:lineRule="auto"/>
        <w:jc w:val="left"/>
        <w:rPr>
          <w:rFonts w:ascii="Times New Roman" w:hAnsi="Times New Roman" w:cs="Times New Roman"/>
          <w:sz w:val="24"/>
          <w:szCs w:val="28"/>
        </w:rPr>
      </w:pPr>
      <w:r>
        <w:rPr>
          <w:rFonts w:hint="eastAsia" w:ascii="Times New Roman" w:hAnsi="Times New Roman" w:cs="Times New Roman"/>
          <w:sz w:val="24"/>
          <w:szCs w:val="28"/>
        </w:rPr>
        <w:t>†</w:t>
      </w:r>
      <w:r>
        <w:rPr>
          <w:rFonts w:ascii="Times New Roman" w:hAnsi="Times New Roman" w:cs="Times New Roman"/>
          <w:sz w:val="24"/>
          <w:szCs w:val="28"/>
        </w:rPr>
        <w:t xml:space="preserve"> These authors contributed equally to this article.</w:t>
      </w:r>
    </w:p>
    <w:p>
      <w:pPr>
        <w:spacing w:line="360" w:lineRule="auto"/>
        <w:jc w:val="left"/>
        <w:rPr>
          <w:rFonts w:ascii="Times New Roman" w:hAnsi="Times New Roman" w:cs="Times New Roman"/>
          <w:sz w:val="24"/>
          <w:szCs w:val="28"/>
        </w:rPr>
      </w:pPr>
      <w:r>
        <w:rPr>
          <w:rFonts w:hint="eastAsia" w:ascii="Times New Roman" w:hAnsi="Times New Roman" w:cs="Times New Roman"/>
          <w:sz w:val="24"/>
          <w:szCs w:val="28"/>
        </w:rPr>
        <w:t>††</w:t>
      </w:r>
      <w:r>
        <w:rPr>
          <w:rFonts w:ascii="Times New Roman" w:hAnsi="Times New Roman" w:cs="Times New Roman"/>
          <w:sz w:val="24"/>
          <w:szCs w:val="28"/>
        </w:rPr>
        <w:t xml:space="preserve"> These authors are equal contributors.</w:t>
      </w:r>
    </w:p>
    <w:p>
      <w:pPr>
        <w:spacing w:line="360" w:lineRule="auto"/>
        <w:jc w:val="lef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*corresponding author: Junping Peng</w:t>
      </w:r>
    </w:p>
    <w:p>
      <w:pPr>
        <w:spacing w:line="360" w:lineRule="auto"/>
        <w:jc w:val="lef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Junping Peng</w:t>
      </w:r>
    </w:p>
    <w:p>
      <w:pPr>
        <w:spacing w:line="360" w:lineRule="auto"/>
        <w:jc w:val="lef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Tel: 86-10- 67878493 </w:t>
      </w:r>
    </w:p>
    <w:p>
      <w:pPr>
        <w:spacing w:line="360" w:lineRule="auto"/>
        <w:jc w:val="lef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Fax: 86-10- 67878493</w:t>
      </w:r>
    </w:p>
    <w:p>
      <w:pPr>
        <w:spacing w:line="360" w:lineRule="auto"/>
        <w:jc w:val="lef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E-mail: </w:t>
      </w:r>
      <w:r>
        <w:fldChar w:fldCharType="begin"/>
      </w:r>
      <w:r>
        <w:instrText xml:space="preserve"> HYPERLINK "mailto:pengjp@hotmail.com" </w:instrText>
      </w:r>
      <w:r>
        <w:fldChar w:fldCharType="separate"/>
      </w:r>
      <w:r>
        <w:rPr>
          <w:rStyle w:val="9"/>
          <w:rFonts w:ascii="Times New Roman" w:hAnsi="Times New Roman" w:cs="Times New Roman"/>
          <w:sz w:val="24"/>
          <w:szCs w:val="28"/>
        </w:rPr>
        <w:t>pengjp@hotmail.com</w:t>
      </w:r>
      <w:r>
        <w:rPr>
          <w:rStyle w:val="9"/>
          <w:rFonts w:ascii="Times New Roman" w:hAnsi="Times New Roman" w:cs="Times New Roman"/>
          <w:sz w:val="24"/>
          <w:szCs w:val="28"/>
        </w:rPr>
        <w:fldChar w:fldCharType="end"/>
      </w:r>
    </w:p>
    <w:p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8"/>
        </w:rPr>
      </w:pPr>
    </w:p>
    <w:p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8"/>
        </w:rPr>
      </w:pPr>
    </w:p>
    <w:p>
      <w:pPr>
        <w:widowControl/>
        <w:spacing w:line="360" w:lineRule="auto"/>
        <w:jc w:val="left"/>
        <w:rPr>
          <w:rFonts w:ascii="Times New Roman" w:hAnsi="Times New Roman"/>
          <w:sz w:val="24"/>
        </w:rPr>
      </w:pPr>
    </w:p>
    <w:p>
      <w:pPr>
        <w:widowControl/>
        <w:spacing w:line="360" w:lineRule="auto"/>
        <w:jc w:val="left"/>
        <w:rPr>
          <w:rFonts w:ascii="Times New Roman" w:hAnsi="Times New Roman"/>
          <w:sz w:val="24"/>
        </w:rPr>
      </w:pPr>
    </w:p>
    <w:p>
      <w:pPr>
        <w:widowControl/>
        <w:spacing w:line="360" w:lineRule="auto"/>
        <w:jc w:val="left"/>
        <w:rPr>
          <w:rFonts w:ascii="Times New Roman" w:hAnsi="Times New Roman"/>
          <w:sz w:val="24"/>
        </w:rPr>
      </w:pPr>
    </w:p>
    <w:p>
      <w:pPr>
        <w:widowControl/>
        <w:spacing w:line="360" w:lineRule="auto"/>
        <w:jc w:val="left"/>
        <w:rPr>
          <w:rFonts w:ascii="Times New Roman" w:hAnsi="Times New Roman"/>
          <w:sz w:val="24"/>
        </w:rPr>
      </w:pPr>
    </w:p>
    <w:p>
      <w:pPr>
        <w:widowControl/>
        <w:spacing w:line="360" w:lineRule="auto"/>
        <w:jc w:val="left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Supplementary Material</w:t>
      </w:r>
    </w:p>
    <w:p>
      <w:pPr>
        <w:widowControl/>
        <w:spacing w:line="360" w:lineRule="auto"/>
        <w:jc w:val="left"/>
        <w:rPr>
          <w:rFonts w:hint="eastAsia"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Figure S1.</w:t>
      </w:r>
      <w:r>
        <w:rPr>
          <w:b/>
          <w:bCs/>
        </w:rPr>
        <w:t xml:space="preserve"> </w:t>
      </w:r>
      <w:r>
        <w:rPr>
          <w:rFonts w:ascii="Times New Roman" w:hAnsi="Times New Roman"/>
          <w:b/>
          <w:bCs/>
          <w:sz w:val="24"/>
        </w:rPr>
        <w:t>Phylogenetic analysis of 34 previously reported FC428-like strains.</w:t>
      </w:r>
    </w:p>
    <w:p>
      <w:pPr>
        <w:spacing w:line="360" w:lineRule="auto"/>
        <w:ind w:firstLine="480" w:firstLineChars="2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drawing>
          <wp:inline distT="0" distB="0" distL="0" distR="0">
            <wp:extent cx="7387590" cy="4877435"/>
            <wp:effectExtent l="0" t="0" r="381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914"/>
                    <a:stretch>
                      <a:fillRect/>
                    </a:stretch>
                  </pic:blipFill>
                  <pic:spPr>
                    <a:xfrm>
                      <a:off x="0" y="0"/>
                      <a:ext cx="7387866" cy="487743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Figure S1, Maximum-likelihood phylogeny of </w:t>
      </w:r>
      <w:r>
        <w:rPr>
          <w:rFonts w:ascii="Times New Roman" w:hAnsi="Times New Roman" w:cs="Times New Roman"/>
          <w:sz w:val="24"/>
          <w:szCs w:val="28"/>
        </w:rPr>
        <w:t>21,715</w:t>
      </w:r>
      <w:r>
        <w:rPr>
          <w:rFonts w:ascii="Times New Roman" w:hAnsi="Times New Roman"/>
          <w:sz w:val="24"/>
        </w:rPr>
        <w:t xml:space="preserve"> SNPs along the whole genome. A total of 34 previously reported FC428-like strains, </w:t>
      </w:r>
      <w:r>
        <w:rPr>
          <w:rFonts w:ascii="Times New Roman" w:hAnsi="Times New Roman" w:cs="Times New Roman"/>
          <w:sz w:val="24"/>
          <w:szCs w:val="28"/>
        </w:rPr>
        <w:t xml:space="preserve">as well as </w:t>
      </w:r>
      <w:r>
        <w:rPr>
          <w:rFonts w:ascii="Times New Roman" w:hAnsi="Times New Roman"/>
          <w:sz w:val="24"/>
        </w:rPr>
        <w:t>WHO-K and WHO-F</w:t>
      </w:r>
      <w:r>
        <w:rPr>
          <w:rFonts w:ascii="Times New Roman" w:hAnsi="Times New Roman" w:cs="Times New Roman"/>
          <w:sz w:val="24"/>
          <w:szCs w:val="28"/>
        </w:rPr>
        <w:t>,</w:t>
      </w:r>
      <w:r>
        <w:rPr>
          <w:rFonts w:ascii="Times New Roman" w:hAnsi="Times New Roman"/>
          <w:sz w:val="24"/>
        </w:rPr>
        <w:t xml:space="preserve"> were included in the phylogenetic analysis.</w:t>
      </w:r>
    </w:p>
    <w:p>
      <w:pPr>
        <w:spacing w:line="360" w:lineRule="auto"/>
        <w:ind w:firstLine="480" w:firstLineChars="200"/>
        <w:rPr>
          <w:rFonts w:ascii="Times New Roman" w:hAnsi="Times New Roman"/>
          <w:sz w:val="24"/>
        </w:rPr>
      </w:pPr>
    </w:p>
    <w:sectPr>
      <w:pgSz w:w="12242" w:h="15842"/>
      <w:pgMar w:top="720" w:right="720" w:bottom="720" w:left="72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U4ZmI4OWMxODFlOGRhYzhhZTE5MDc0MDg3YjkzNWEifQ=="/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TF-Standard NLM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tz5sf2d5w9209ezsabpevd8tswp2t20fwt2&quot;&gt;My EndNote Library&lt;record-ids&gt;&lt;item&gt;2&lt;/item&gt;&lt;item&gt;141&lt;/item&gt;&lt;item&gt;158&lt;/item&gt;&lt;item&gt;194&lt;/item&gt;&lt;item&gt;223&lt;/item&gt;&lt;item&gt;390&lt;/item&gt;&lt;item&gt;449&lt;/item&gt;&lt;item&gt;509&lt;/item&gt;&lt;item&gt;531&lt;/item&gt;&lt;item&gt;535&lt;/item&gt;&lt;item&gt;536&lt;/item&gt;&lt;item&gt;537&lt;/item&gt;&lt;item&gt;538&lt;/item&gt;&lt;item&gt;539&lt;/item&gt;&lt;item&gt;540&lt;/item&gt;&lt;item&gt;541&lt;/item&gt;&lt;item&gt;542&lt;/item&gt;&lt;item&gt;544&lt;/item&gt;&lt;item&gt;545&lt;/item&gt;&lt;/record-ids&gt;&lt;/item&gt;&lt;/Libraries&gt;"/>
  </w:docVars>
  <w:rsids>
    <w:rsidRoot w:val="00023811"/>
    <w:rsid w:val="00007ABA"/>
    <w:rsid w:val="00022CCE"/>
    <w:rsid w:val="00023811"/>
    <w:rsid w:val="00030528"/>
    <w:rsid w:val="00046E83"/>
    <w:rsid w:val="00053402"/>
    <w:rsid w:val="00055CA8"/>
    <w:rsid w:val="000662FF"/>
    <w:rsid w:val="000668CA"/>
    <w:rsid w:val="000A4B57"/>
    <w:rsid w:val="000A6087"/>
    <w:rsid w:val="000B2E36"/>
    <w:rsid w:val="000C1256"/>
    <w:rsid w:val="000C63E6"/>
    <w:rsid w:val="000D025A"/>
    <w:rsid w:val="000D4081"/>
    <w:rsid w:val="000D6F4E"/>
    <w:rsid w:val="000E1946"/>
    <w:rsid w:val="000E4455"/>
    <w:rsid w:val="000E5677"/>
    <w:rsid w:val="000F012F"/>
    <w:rsid w:val="000F5561"/>
    <w:rsid w:val="001038DE"/>
    <w:rsid w:val="00111103"/>
    <w:rsid w:val="00116CCD"/>
    <w:rsid w:val="0012601F"/>
    <w:rsid w:val="0013699A"/>
    <w:rsid w:val="001554BC"/>
    <w:rsid w:val="00164F0C"/>
    <w:rsid w:val="0016563D"/>
    <w:rsid w:val="00174667"/>
    <w:rsid w:val="0018045B"/>
    <w:rsid w:val="00184F11"/>
    <w:rsid w:val="0019383A"/>
    <w:rsid w:val="00195CA1"/>
    <w:rsid w:val="001A7F9E"/>
    <w:rsid w:val="001B0A0A"/>
    <w:rsid w:val="001B3C90"/>
    <w:rsid w:val="001B5257"/>
    <w:rsid w:val="001C1801"/>
    <w:rsid w:val="001C46BC"/>
    <w:rsid w:val="001E4409"/>
    <w:rsid w:val="001F5FB8"/>
    <w:rsid w:val="002076EB"/>
    <w:rsid w:val="00213F33"/>
    <w:rsid w:val="00226F11"/>
    <w:rsid w:val="0023003E"/>
    <w:rsid w:val="00230D66"/>
    <w:rsid w:val="00235908"/>
    <w:rsid w:val="00250AB7"/>
    <w:rsid w:val="00251356"/>
    <w:rsid w:val="0028677D"/>
    <w:rsid w:val="00286A10"/>
    <w:rsid w:val="00287C7F"/>
    <w:rsid w:val="00297195"/>
    <w:rsid w:val="002B7251"/>
    <w:rsid w:val="002C43F8"/>
    <w:rsid w:val="002D551F"/>
    <w:rsid w:val="002E2E6C"/>
    <w:rsid w:val="002E454E"/>
    <w:rsid w:val="002E4D6C"/>
    <w:rsid w:val="002E7D1E"/>
    <w:rsid w:val="002F303A"/>
    <w:rsid w:val="00302C20"/>
    <w:rsid w:val="003031B1"/>
    <w:rsid w:val="00323DB3"/>
    <w:rsid w:val="003617B6"/>
    <w:rsid w:val="00370E51"/>
    <w:rsid w:val="00385A74"/>
    <w:rsid w:val="00392084"/>
    <w:rsid w:val="00392E54"/>
    <w:rsid w:val="00395146"/>
    <w:rsid w:val="00396CA8"/>
    <w:rsid w:val="003A2C62"/>
    <w:rsid w:val="003A3CB0"/>
    <w:rsid w:val="003A59C7"/>
    <w:rsid w:val="003A7B66"/>
    <w:rsid w:val="003B10A2"/>
    <w:rsid w:val="003B5E64"/>
    <w:rsid w:val="003C2AAE"/>
    <w:rsid w:val="003C3BB7"/>
    <w:rsid w:val="003D382C"/>
    <w:rsid w:val="003E0289"/>
    <w:rsid w:val="003E756F"/>
    <w:rsid w:val="003F2ADD"/>
    <w:rsid w:val="004051D1"/>
    <w:rsid w:val="00406282"/>
    <w:rsid w:val="004530A9"/>
    <w:rsid w:val="00483BAF"/>
    <w:rsid w:val="00486591"/>
    <w:rsid w:val="00491B59"/>
    <w:rsid w:val="004B5678"/>
    <w:rsid w:val="004B7DF0"/>
    <w:rsid w:val="004C03D3"/>
    <w:rsid w:val="004C27D5"/>
    <w:rsid w:val="004C52C2"/>
    <w:rsid w:val="004D2642"/>
    <w:rsid w:val="004D3C3F"/>
    <w:rsid w:val="004E3210"/>
    <w:rsid w:val="004E751F"/>
    <w:rsid w:val="004F1C34"/>
    <w:rsid w:val="004F47E3"/>
    <w:rsid w:val="004F5349"/>
    <w:rsid w:val="004F73AD"/>
    <w:rsid w:val="005015A0"/>
    <w:rsid w:val="005019EC"/>
    <w:rsid w:val="005039CD"/>
    <w:rsid w:val="005043D9"/>
    <w:rsid w:val="00535CF4"/>
    <w:rsid w:val="00536A18"/>
    <w:rsid w:val="0055162D"/>
    <w:rsid w:val="00561681"/>
    <w:rsid w:val="00570624"/>
    <w:rsid w:val="00573856"/>
    <w:rsid w:val="00590A48"/>
    <w:rsid w:val="00593750"/>
    <w:rsid w:val="005A05A9"/>
    <w:rsid w:val="005A0C9A"/>
    <w:rsid w:val="005A3A80"/>
    <w:rsid w:val="005B5BDD"/>
    <w:rsid w:val="005D5834"/>
    <w:rsid w:val="005E1D20"/>
    <w:rsid w:val="005E246D"/>
    <w:rsid w:val="005E7E59"/>
    <w:rsid w:val="005F71A8"/>
    <w:rsid w:val="00600469"/>
    <w:rsid w:val="00607400"/>
    <w:rsid w:val="00611104"/>
    <w:rsid w:val="0061724F"/>
    <w:rsid w:val="00620079"/>
    <w:rsid w:val="006535AF"/>
    <w:rsid w:val="00673F1E"/>
    <w:rsid w:val="00677AAE"/>
    <w:rsid w:val="00680E82"/>
    <w:rsid w:val="00687108"/>
    <w:rsid w:val="00690C91"/>
    <w:rsid w:val="006A09BA"/>
    <w:rsid w:val="006A3173"/>
    <w:rsid w:val="006A3B11"/>
    <w:rsid w:val="006A6EF9"/>
    <w:rsid w:val="006D65FA"/>
    <w:rsid w:val="006E2329"/>
    <w:rsid w:val="00703422"/>
    <w:rsid w:val="00717625"/>
    <w:rsid w:val="00746CE8"/>
    <w:rsid w:val="0075605B"/>
    <w:rsid w:val="00756FCD"/>
    <w:rsid w:val="00774D13"/>
    <w:rsid w:val="007A07C1"/>
    <w:rsid w:val="007A2141"/>
    <w:rsid w:val="007A6281"/>
    <w:rsid w:val="007B3FC2"/>
    <w:rsid w:val="007B50EF"/>
    <w:rsid w:val="007C06BF"/>
    <w:rsid w:val="007C6CF5"/>
    <w:rsid w:val="007D0118"/>
    <w:rsid w:val="007D69F2"/>
    <w:rsid w:val="007E3A36"/>
    <w:rsid w:val="007F0416"/>
    <w:rsid w:val="007F2E28"/>
    <w:rsid w:val="007F3EEF"/>
    <w:rsid w:val="007F539D"/>
    <w:rsid w:val="00800A09"/>
    <w:rsid w:val="00801A66"/>
    <w:rsid w:val="008123C2"/>
    <w:rsid w:val="008161C9"/>
    <w:rsid w:val="00824A3F"/>
    <w:rsid w:val="008343D0"/>
    <w:rsid w:val="00836479"/>
    <w:rsid w:val="00850122"/>
    <w:rsid w:val="008532F4"/>
    <w:rsid w:val="00870AE5"/>
    <w:rsid w:val="008958AD"/>
    <w:rsid w:val="008B3C72"/>
    <w:rsid w:val="008B4E13"/>
    <w:rsid w:val="008C1CFB"/>
    <w:rsid w:val="008D7897"/>
    <w:rsid w:val="008E240E"/>
    <w:rsid w:val="00910805"/>
    <w:rsid w:val="00916C4D"/>
    <w:rsid w:val="00921338"/>
    <w:rsid w:val="00922D26"/>
    <w:rsid w:val="0092406A"/>
    <w:rsid w:val="0092611E"/>
    <w:rsid w:val="0095517B"/>
    <w:rsid w:val="00960EB7"/>
    <w:rsid w:val="0099424A"/>
    <w:rsid w:val="009B0AF6"/>
    <w:rsid w:val="009B528A"/>
    <w:rsid w:val="009E255B"/>
    <w:rsid w:val="009F4633"/>
    <w:rsid w:val="00A021CB"/>
    <w:rsid w:val="00A24DE4"/>
    <w:rsid w:val="00A32D3C"/>
    <w:rsid w:val="00A559EC"/>
    <w:rsid w:val="00A71426"/>
    <w:rsid w:val="00A87804"/>
    <w:rsid w:val="00A92020"/>
    <w:rsid w:val="00A94574"/>
    <w:rsid w:val="00A97E43"/>
    <w:rsid w:val="00AA6FA0"/>
    <w:rsid w:val="00AB3703"/>
    <w:rsid w:val="00AB3E97"/>
    <w:rsid w:val="00AC3BD9"/>
    <w:rsid w:val="00AD69F3"/>
    <w:rsid w:val="00AD7511"/>
    <w:rsid w:val="00AE2097"/>
    <w:rsid w:val="00B07AF9"/>
    <w:rsid w:val="00B530CE"/>
    <w:rsid w:val="00B60977"/>
    <w:rsid w:val="00B65406"/>
    <w:rsid w:val="00B75112"/>
    <w:rsid w:val="00B76404"/>
    <w:rsid w:val="00B81935"/>
    <w:rsid w:val="00B91E68"/>
    <w:rsid w:val="00B95150"/>
    <w:rsid w:val="00BA4786"/>
    <w:rsid w:val="00BA54B2"/>
    <w:rsid w:val="00BD07FC"/>
    <w:rsid w:val="00BD483D"/>
    <w:rsid w:val="00BE0770"/>
    <w:rsid w:val="00BE6637"/>
    <w:rsid w:val="00C0373C"/>
    <w:rsid w:val="00C069B4"/>
    <w:rsid w:val="00C17E06"/>
    <w:rsid w:val="00C23790"/>
    <w:rsid w:val="00C24679"/>
    <w:rsid w:val="00C27887"/>
    <w:rsid w:val="00C32CF4"/>
    <w:rsid w:val="00C34036"/>
    <w:rsid w:val="00C35E4A"/>
    <w:rsid w:val="00C3607E"/>
    <w:rsid w:val="00C46D9D"/>
    <w:rsid w:val="00C55D8E"/>
    <w:rsid w:val="00C57680"/>
    <w:rsid w:val="00C822D0"/>
    <w:rsid w:val="00C90522"/>
    <w:rsid w:val="00C90DD2"/>
    <w:rsid w:val="00C922BD"/>
    <w:rsid w:val="00C967E1"/>
    <w:rsid w:val="00CB018E"/>
    <w:rsid w:val="00CB3C17"/>
    <w:rsid w:val="00CB51BE"/>
    <w:rsid w:val="00CB58C6"/>
    <w:rsid w:val="00CB7011"/>
    <w:rsid w:val="00CC570A"/>
    <w:rsid w:val="00CC5B01"/>
    <w:rsid w:val="00CD6808"/>
    <w:rsid w:val="00D000FD"/>
    <w:rsid w:val="00D04D8A"/>
    <w:rsid w:val="00D127C8"/>
    <w:rsid w:val="00D2307A"/>
    <w:rsid w:val="00D35020"/>
    <w:rsid w:val="00D457B4"/>
    <w:rsid w:val="00D50504"/>
    <w:rsid w:val="00D655AD"/>
    <w:rsid w:val="00D83F5F"/>
    <w:rsid w:val="00D9510D"/>
    <w:rsid w:val="00DA0B93"/>
    <w:rsid w:val="00DA75D4"/>
    <w:rsid w:val="00DB04D2"/>
    <w:rsid w:val="00DB7807"/>
    <w:rsid w:val="00DC38BF"/>
    <w:rsid w:val="00DC5994"/>
    <w:rsid w:val="00DD68C1"/>
    <w:rsid w:val="00DE6FC5"/>
    <w:rsid w:val="00DE7C7F"/>
    <w:rsid w:val="00E21BB7"/>
    <w:rsid w:val="00E232BD"/>
    <w:rsid w:val="00E31F50"/>
    <w:rsid w:val="00E628EF"/>
    <w:rsid w:val="00E86CE1"/>
    <w:rsid w:val="00EA0877"/>
    <w:rsid w:val="00EA76A8"/>
    <w:rsid w:val="00EB0221"/>
    <w:rsid w:val="00EB5458"/>
    <w:rsid w:val="00F02FDA"/>
    <w:rsid w:val="00F11476"/>
    <w:rsid w:val="00F11B34"/>
    <w:rsid w:val="00F23435"/>
    <w:rsid w:val="00F30A38"/>
    <w:rsid w:val="00F32160"/>
    <w:rsid w:val="00F501DB"/>
    <w:rsid w:val="00F54B4E"/>
    <w:rsid w:val="00F56B3D"/>
    <w:rsid w:val="00F77273"/>
    <w:rsid w:val="00F808CB"/>
    <w:rsid w:val="00F851A9"/>
    <w:rsid w:val="00F9544E"/>
    <w:rsid w:val="00FB4555"/>
    <w:rsid w:val="00FD7658"/>
    <w:rsid w:val="19835258"/>
    <w:rsid w:val="3BAD4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unhideWhenUsed/>
    <w:qFormat/>
    <w:uiPriority w:val="99"/>
    <w:pPr>
      <w:jc w:val="left"/>
    </w:pPr>
  </w:style>
  <w:style w:type="paragraph" w:styleId="3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7"/>
    <w:semiHidden/>
    <w:unhideWhenUsed/>
    <w:qFormat/>
    <w:uiPriority w:val="99"/>
    <w:rPr>
      <w:b/>
      <w:bCs/>
    </w:rPr>
  </w:style>
  <w:style w:type="character" w:styleId="9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0">
    <w:name w:val="annotation reference"/>
    <w:basedOn w:val="8"/>
    <w:semiHidden/>
    <w:unhideWhenUsed/>
    <w:qFormat/>
    <w:uiPriority w:val="99"/>
    <w:rPr>
      <w:sz w:val="21"/>
      <w:szCs w:val="21"/>
    </w:rPr>
  </w:style>
  <w:style w:type="paragraph" w:customStyle="1" w:styleId="11">
    <w:name w:val="EndNote Bibliography Title"/>
    <w:basedOn w:val="1"/>
    <w:link w:val="12"/>
    <w:qFormat/>
    <w:uiPriority w:val="0"/>
    <w:pPr>
      <w:jc w:val="center"/>
    </w:pPr>
    <w:rPr>
      <w:rFonts w:ascii="等线" w:hAnsi="等线" w:eastAsia="等线"/>
      <w:sz w:val="20"/>
    </w:rPr>
  </w:style>
  <w:style w:type="character" w:customStyle="1" w:styleId="12">
    <w:name w:val="EndNote Bibliography Title 字符"/>
    <w:basedOn w:val="8"/>
    <w:link w:val="11"/>
    <w:qFormat/>
    <w:uiPriority w:val="0"/>
    <w:rPr>
      <w:rFonts w:ascii="等线" w:hAnsi="等线" w:eastAsia="等线"/>
      <w:kern w:val="2"/>
      <w:szCs w:val="22"/>
    </w:rPr>
  </w:style>
  <w:style w:type="paragraph" w:customStyle="1" w:styleId="13">
    <w:name w:val="EndNote Bibliography"/>
    <w:basedOn w:val="1"/>
    <w:link w:val="14"/>
    <w:qFormat/>
    <w:uiPriority w:val="0"/>
    <w:rPr>
      <w:rFonts w:ascii="等线" w:hAnsi="等线" w:eastAsia="等线"/>
      <w:sz w:val="20"/>
    </w:rPr>
  </w:style>
  <w:style w:type="character" w:customStyle="1" w:styleId="14">
    <w:name w:val="EndNote Bibliography 字符"/>
    <w:basedOn w:val="8"/>
    <w:link w:val="13"/>
    <w:qFormat/>
    <w:uiPriority w:val="0"/>
    <w:rPr>
      <w:rFonts w:ascii="等线" w:hAnsi="等线" w:eastAsia="等线"/>
      <w:kern w:val="2"/>
      <w:szCs w:val="22"/>
    </w:rPr>
  </w:style>
  <w:style w:type="character" w:customStyle="1" w:styleId="15">
    <w:name w:val="未处理的提及1"/>
    <w:basedOn w:val="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6">
    <w:name w:val="批注文字 字符"/>
    <w:basedOn w:val="8"/>
    <w:link w:val="2"/>
    <w:uiPriority w:val="99"/>
  </w:style>
  <w:style w:type="character" w:customStyle="1" w:styleId="17">
    <w:name w:val="批注主题 字符"/>
    <w:basedOn w:val="16"/>
    <w:link w:val="6"/>
    <w:semiHidden/>
    <w:qFormat/>
    <w:uiPriority w:val="99"/>
    <w:rPr>
      <w:b/>
      <w:bCs/>
    </w:rPr>
  </w:style>
  <w:style w:type="character" w:customStyle="1" w:styleId="18">
    <w:name w:val="批注框文本 字符"/>
    <w:basedOn w:val="8"/>
    <w:link w:val="3"/>
    <w:semiHidden/>
    <w:qFormat/>
    <w:uiPriority w:val="99"/>
    <w:rPr>
      <w:sz w:val="18"/>
      <w:szCs w:val="18"/>
    </w:rPr>
  </w:style>
  <w:style w:type="character" w:customStyle="1" w:styleId="19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20">
    <w:name w:val="页脚 字符"/>
    <w:basedOn w:val="8"/>
    <w:link w:val="4"/>
    <w:uiPriority w:val="99"/>
    <w:rPr>
      <w:sz w:val="18"/>
      <w:szCs w:val="18"/>
    </w:rPr>
  </w:style>
  <w:style w:type="paragraph" w:customStyle="1" w:styleId="21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2">
    <w:name w:val="Revision"/>
    <w:hidden/>
    <w:semiHidden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3">
    <w:name w:val="List Paragraph"/>
    <w:basedOn w:val="1"/>
    <w:uiPriority w:val="99"/>
    <w:pPr>
      <w:ind w:firstLine="420" w:firstLineChars="200"/>
    </w:pPr>
  </w:style>
  <w:style w:type="character" w:customStyle="1" w:styleId="24">
    <w:name w:val="Unresolved Mention"/>
    <w:basedOn w:val="8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229</Words>
  <Characters>1381</Characters>
  <Lines>11</Lines>
  <Paragraphs>3</Paragraphs>
  <TotalTime>0</TotalTime>
  <ScaleCrop>false</ScaleCrop>
  <LinksUpToDate>false</LinksUpToDate>
  <CharactersWithSpaces>1578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2023-04-07T13:46:00Z</dcterms:created>
  <dc:creator>李 雅梅</dc:creator>
  <cp:lastModifiedBy>HYL</cp:lastModifiedBy>
  <dcterms:modified xsi:type="dcterms:W3CDTF">2023-06-05T14:12:36Z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75B5D433FB4340C2BF9515D2B267E1D9</vt:lpwstr>
  </property>
</Properties>
</file>