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99E74" w14:textId="77777777" w:rsidR="009F3EB7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  <w:r w:rsidRPr="009F3EB7">
        <w:rPr>
          <w:rFonts w:eastAsia="宋体"/>
          <w:b/>
          <w:bCs/>
        </w:rPr>
        <w:t>Supplement</w:t>
      </w:r>
      <w:r>
        <w:rPr>
          <w:rFonts w:eastAsia="宋体"/>
          <w:b/>
          <w:bCs/>
        </w:rPr>
        <w:t>ary figures</w:t>
      </w:r>
    </w:p>
    <w:p w14:paraId="7D90FC3D" w14:textId="77777777" w:rsidR="009F3EB7" w:rsidRDefault="009F3EB7" w:rsidP="00CE0761">
      <w:pPr>
        <w:adjustRightInd w:val="0"/>
        <w:snapToGrid w:val="0"/>
        <w:spacing w:line="480" w:lineRule="auto"/>
        <w:jc w:val="center"/>
        <w:rPr>
          <w:rFonts w:eastAsia="宋体"/>
          <w:b/>
          <w:bCs/>
        </w:rPr>
      </w:pPr>
    </w:p>
    <w:p w14:paraId="6D181697" w14:textId="20627E38" w:rsidR="000B75F3" w:rsidRPr="00015A6B" w:rsidRDefault="000B75F3" w:rsidP="00CE0761">
      <w:pPr>
        <w:adjustRightInd w:val="0"/>
        <w:snapToGrid w:val="0"/>
        <w:spacing w:line="480" w:lineRule="auto"/>
        <w:jc w:val="center"/>
        <w:rPr>
          <w:rFonts w:eastAsia="宋体"/>
          <w:b/>
          <w:bCs/>
        </w:rPr>
      </w:pPr>
      <w:r w:rsidRPr="00015A6B">
        <w:rPr>
          <w:rFonts w:eastAsia="宋体"/>
          <w:b/>
          <w:bCs/>
        </w:rPr>
        <w:t xml:space="preserve">Single-cell </w:t>
      </w:r>
      <w:r w:rsidR="00CE0761" w:rsidRPr="00CE0761">
        <w:rPr>
          <w:rFonts w:eastAsia="宋体"/>
          <w:b/>
          <w:bCs/>
        </w:rPr>
        <w:t>transcriptomic analysis</w:t>
      </w:r>
      <w:r w:rsidRPr="00015A6B">
        <w:rPr>
          <w:rFonts w:eastAsia="宋体"/>
          <w:b/>
          <w:bCs/>
        </w:rPr>
        <w:t xml:space="preserve"> reveals </w:t>
      </w:r>
      <w:r w:rsidR="00CE0761">
        <w:rPr>
          <w:rFonts w:eastAsia="宋体"/>
          <w:b/>
          <w:bCs/>
        </w:rPr>
        <w:t>the</w:t>
      </w:r>
      <w:r w:rsidR="00CE0761" w:rsidRPr="00CE0761">
        <w:rPr>
          <w:rFonts w:eastAsia="宋体"/>
          <w:b/>
          <w:bCs/>
        </w:rPr>
        <w:t xml:space="preserve"> functional</w:t>
      </w:r>
      <w:r w:rsidR="00CE0761">
        <w:rPr>
          <w:rFonts w:eastAsia="宋体"/>
          <w:b/>
          <w:bCs/>
        </w:rPr>
        <w:t xml:space="preserve"> </w:t>
      </w:r>
      <w:r w:rsidR="00CE0761" w:rsidRPr="00CE0761">
        <w:rPr>
          <w:rFonts w:eastAsia="宋体"/>
          <w:b/>
          <w:bCs/>
        </w:rPr>
        <w:t xml:space="preserve">heterogeneity </w:t>
      </w:r>
      <w:r w:rsidR="00CE0761" w:rsidRPr="00015A6B">
        <w:rPr>
          <w:rFonts w:eastAsia="宋体"/>
          <w:b/>
          <w:bCs/>
        </w:rPr>
        <w:t>and clinical signification</w:t>
      </w:r>
      <w:r w:rsidR="00CE0761">
        <w:rPr>
          <w:rFonts w:eastAsia="宋体"/>
          <w:b/>
          <w:bCs/>
        </w:rPr>
        <w:t xml:space="preserve"> of </w:t>
      </w:r>
      <w:r w:rsidRPr="00015A6B">
        <w:rPr>
          <w:rFonts w:eastAsia="宋体" w:hint="eastAsia"/>
          <w:b/>
          <w:bCs/>
        </w:rPr>
        <w:t>pericyte</w:t>
      </w:r>
      <w:r w:rsidR="00CE0761">
        <w:rPr>
          <w:rFonts w:eastAsia="宋体"/>
          <w:b/>
          <w:bCs/>
        </w:rPr>
        <w:t xml:space="preserve"> </w:t>
      </w:r>
      <w:r w:rsidRPr="00015A6B">
        <w:rPr>
          <w:rFonts w:eastAsia="宋体" w:hint="eastAsia"/>
          <w:b/>
          <w:bCs/>
        </w:rPr>
        <w:t>s</w:t>
      </w:r>
      <w:r w:rsidR="00CE0761">
        <w:rPr>
          <w:rFonts w:eastAsia="宋体"/>
          <w:b/>
          <w:bCs/>
        </w:rPr>
        <w:t xml:space="preserve">ubpopulations </w:t>
      </w:r>
      <w:r w:rsidR="00CE0761" w:rsidRPr="00015A6B">
        <w:rPr>
          <w:rFonts w:eastAsia="宋体"/>
          <w:b/>
          <w:bCs/>
        </w:rPr>
        <w:t xml:space="preserve">in </w:t>
      </w:r>
      <w:proofErr w:type="gramStart"/>
      <w:r w:rsidR="00CE0761" w:rsidRPr="00015A6B">
        <w:rPr>
          <w:rFonts w:eastAsia="宋体"/>
          <w:b/>
          <w:bCs/>
        </w:rPr>
        <w:t>glioma</w:t>
      </w:r>
      <w:r w:rsidR="00CE0761">
        <w:rPr>
          <w:rFonts w:eastAsia="宋体"/>
          <w:b/>
          <w:bCs/>
        </w:rPr>
        <w:t>s</w:t>
      </w:r>
      <w:proofErr w:type="gramEnd"/>
      <w:r w:rsidR="00CE0761">
        <w:rPr>
          <w:rFonts w:eastAsia="宋体"/>
          <w:b/>
          <w:bCs/>
        </w:rPr>
        <w:t xml:space="preserve"> </w:t>
      </w:r>
    </w:p>
    <w:p w14:paraId="052F4A9C" w14:textId="77777777" w:rsidR="00FD2C15" w:rsidRDefault="00FD2C15" w:rsidP="00FD2C15">
      <w:pPr>
        <w:adjustRightInd w:val="0"/>
        <w:snapToGrid w:val="0"/>
        <w:spacing w:line="480" w:lineRule="auto"/>
        <w:rPr>
          <w:rFonts w:eastAsia="宋体"/>
          <w:color w:val="000000" w:themeColor="text1"/>
        </w:rPr>
      </w:pPr>
      <w:r>
        <w:rPr>
          <w:rFonts w:eastAsia="宋体"/>
          <w:color w:val="000000" w:themeColor="text1"/>
        </w:rPr>
        <w:t>Y</w:t>
      </w:r>
      <w:r>
        <w:rPr>
          <w:rFonts w:eastAsia="宋体" w:hint="eastAsia"/>
          <w:color w:val="000000" w:themeColor="text1"/>
        </w:rPr>
        <w:t>ing</w:t>
      </w:r>
      <w:r>
        <w:rPr>
          <w:rFonts w:eastAsia="宋体"/>
          <w:color w:val="000000" w:themeColor="text1"/>
        </w:rPr>
        <w:t xml:space="preserve"> Guo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 xml:space="preserve">, </w:t>
      </w:r>
      <w:r w:rsidRPr="00064EE8">
        <w:rPr>
          <w:rFonts w:eastAsia="宋体"/>
          <w:color w:val="000000" w:themeColor="text1"/>
        </w:rPr>
        <w:t>Yu-Qi Liu</w:t>
      </w:r>
      <w:r w:rsidRPr="00593A46">
        <w:rPr>
          <w:rFonts w:eastAsia="宋体" w:hint="eastAsia"/>
          <w:vertAlign w:val="superscript"/>
        </w:rPr>
        <w:t>1</w:t>
      </w:r>
      <w:r w:rsidRPr="00593A46">
        <w:rPr>
          <w:rFonts w:eastAsia="宋体"/>
          <w:vertAlign w:val="superscript"/>
        </w:rPr>
        <w:t>,2</w:t>
      </w:r>
      <w:r w:rsidRPr="00064EE8">
        <w:rPr>
          <w:rFonts w:eastAsia="宋体"/>
          <w:color w:val="000000" w:themeColor="text1"/>
        </w:rPr>
        <w:t>, Xiao-Ning Zhang</w:t>
      </w:r>
      <w:r w:rsidRPr="00593A46">
        <w:rPr>
          <w:rFonts w:eastAsia="宋体" w:hint="eastAsia"/>
          <w:vertAlign w:val="superscript"/>
        </w:rPr>
        <w:t>1</w:t>
      </w:r>
      <w:r w:rsidRPr="00593A46">
        <w:rPr>
          <w:rFonts w:eastAsia="宋体"/>
          <w:vertAlign w:val="superscript"/>
        </w:rPr>
        <w:t>,2</w:t>
      </w:r>
      <w:r w:rsidRPr="00064EE8">
        <w:rPr>
          <w:rFonts w:eastAsia="宋体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</w:t>
      </w:r>
      <w:r w:rsidRPr="00064EE8">
        <w:rPr>
          <w:rFonts w:eastAsia="宋体"/>
          <w:color w:val="000000" w:themeColor="text1"/>
        </w:rPr>
        <w:t>Qing Liu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</w:t>
      </w:r>
      <w:r w:rsidRPr="00064EE8">
        <w:rPr>
          <w:rFonts w:eastAsia="宋体"/>
          <w:color w:val="000000" w:themeColor="text1"/>
        </w:rPr>
        <w:t>Tian-Ran Li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W</w:t>
      </w:r>
      <w:r>
        <w:rPr>
          <w:rFonts w:eastAsia="宋体" w:hint="eastAsia"/>
          <w:color w:val="000000" w:themeColor="text1"/>
        </w:rPr>
        <w:t>en</w:t>
      </w:r>
      <w:r>
        <w:rPr>
          <w:rFonts w:eastAsia="宋体"/>
          <w:color w:val="000000" w:themeColor="text1"/>
        </w:rPr>
        <w:t xml:space="preserve"> Yin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 xml:space="preserve">, </w:t>
      </w:r>
      <w:r w:rsidRPr="00064EE8">
        <w:rPr>
          <w:rFonts w:eastAsia="宋体"/>
          <w:color w:val="000000" w:themeColor="text1"/>
        </w:rPr>
        <w:t>Zhi-Cheng He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Sheng-Qing Lv</w:t>
      </w:r>
      <w:r>
        <w:rPr>
          <w:rFonts w:eastAsia="宋体"/>
          <w:vertAlign w:val="superscript"/>
        </w:rPr>
        <w:t>3</w:t>
      </w:r>
      <w:r>
        <w:rPr>
          <w:rFonts w:eastAsia="宋体"/>
          <w:color w:val="000000" w:themeColor="text1"/>
        </w:rPr>
        <w:t>, Fei Li</w:t>
      </w:r>
      <w:r>
        <w:rPr>
          <w:rFonts w:eastAsia="宋体"/>
          <w:vertAlign w:val="superscript"/>
        </w:rPr>
        <w:t>4</w:t>
      </w:r>
      <w:r>
        <w:rPr>
          <w:rFonts w:eastAsia="宋体"/>
          <w:color w:val="000000" w:themeColor="text1"/>
        </w:rPr>
        <w:t>, Chun-Hua Luo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 xml:space="preserve">, </w:t>
      </w:r>
      <w:r w:rsidRPr="00064EE8">
        <w:rPr>
          <w:rFonts w:eastAsia="宋体"/>
          <w:color w:val="000000" w:themeColor="text1"/>
        </w:rPr>
        <w:t>Min Luo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</w:t>
      </w:r>
      <w:r w:rsidRPr="00064EE8">
        <w:rPr>
          <w:rFonts w:eastAsia="宋体"/>
          <w:color w:val="000000" w:themeColor="text1"/>
        </w:rPr>
        <w:t>Wen-Ying Wang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Min Mao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>, Yue Cheng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>, Ying Yang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>,</w:t>
      </w:r>
      <w:r w:rsidRPr="00AE6794">
        <w:rPr>
          <w:rFonts w:eastAsia="宋体" w:hint="eastAsia"/>
          <w:vertAlign w:val="superscript"/>
        </w:rPr>
        <w:t xml:space="preserve"> </w:t>
      </w:r>
      <w:r>
        <w:rPr>
          <w:rFonts w:eastAsia="宋体"/>
          <w:color w:val="000000" w:themeColor="text1"/>
        </w:rPr>
        <w:t>Chao Wang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>, Chen-Chen Wu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>, Shuang-Hui Ye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 xml:space="preserve">, </w:t>
      </w:r>
      <w:r w:rsidRPr="00064EE8">
        <w:rPr>
          <w:rFonts w:eastAsia="宋体"/>
          <w:color w:val="000000" w:themeColor="text1"/>
        </w:rPr>
        <w:t>Qin Niu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Ding-Shan Li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>, Le-Le An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>, Xiao-Hong Yao</w:t>
      </w:r>
      <w:r w:rsidRPr="00593A46">
        <w:rPr>
          <w:rFonts w:eastAsia="宋体" w:hint="eastAsia"/>
          <w:vertAlign w:val="superscript"/>
        </w:rPr>
        <w:t>1</w:t>
      </w:r>
      <w:r>
        <w:rPr>
          <w:rFonts w:eastAsia="宋体"/>
          <w:color w:val="000000" w:themeColor="text1"/>
        </w:rPr>
        <w:t xml:space="preserve">, </w:t>
      </w:r>
      <w:r w:rsidRPr="00064EE8">
        <w:rPr>
          <w:rFonts w:eastAsia="宋体"/>
          <w:color w:val="000000" w:themeColor="text1"/>
        </w:rPr>
        <w:t>Yu Shi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>,</w:t>
      </w:r>
      <w:r w:rsidRPr="00DF5CBB">
        <w:rPr>
          <w:rFonts w:eastAsia="宋体"/>
          <w:color w:val="000000" w:themeColor="text1"/>
        </w:rPr>
        <w:t xml:space="preserve"> </w:t>
      </w:r>
      <w:r w:rsidRPr="00064EE8">
        <w:rPr>
          <w:rFonts w:eastAsia="宋体"/>
          <w:color w:val="000000" w:themeColor="text1"/>
        </w:rPr>
        <w:t>Xiu-Wu Bian</w:t>
      </w:r>
      <w:r w:rsidRPr="00593A46">
        <w:rPr>
          <w:rFonts w:eastAsia="宋体" w:hint="eastAsia"/>
          <w:vertAlign w:val="superscript"/>
        </w:rPr>
        <w:t>1</w:t>
      </w:r>
      <w:r w:rsidRPr="00064EE8">
        <w:rPr>
          <w:rFonts w:eastAsia="宋体"/>
          <w:color w:val="000000" w:themeColor="text1"/>
        </w:rPr>
        <w:t xml:space="preserve"> &amp; Yi-Fang Ping</w:t>
      </w:r>
      <w:r w:rsidRPr="00593A46">
        <w:rPr>
          <w:rFonts w:eastAsia="宋体" w:hint="eastAsia"/>
          <w:vertAlign w:val="superscript"/>
        </w:rPr>
        <w:t>1</w:t>
      </w:r>
    </w:p>
    <w:p w14:paraId="024DEC7C" w14:textId="77777777" w:rsidR="00FD2C15" w:rsidRDefault="00FD2C15" w:rsidP="00FD2C15">
      <w:pPr>
        <w:adjustRightInd w:val="0"/>
        <w:snapToGrid w:val="0"/>
        <w:spacing w:line="480" w:lineRule="auto"/>
        <w:rPr>
          <w:rFonts w:eastAsia="宋体"/>
          <w:b/>
          <w:bCs/>
          <w:color w:val="000000" w:themeColor="text1"/>
        </w:rPr>
      </w:pPr>
    </w:p>
    <w:p w14:paraId="0276122A" w14:textId="77777777" w:rsidR="00FD2C15" w:rsidRPr="001574AB" w:rsidRDefault="00FD2C15" w:rsidP="00FD2C15">
      <w:pPr>
        <w:adjustRightInd w:val="0"/>
        <w:snapToGrid w:val="0"/>
        <w:spacing w:line="480" w:lineRule="auto"/>
        <w:rPr>
          <w:rFonts w:eastAsia="宋体"/>
          <w:b/>
          <w:bCs/>
          <w:color w:val="000000" w:themeColor="text1"/>
        </w:rPr>
      </w:pPr>
      <w:r w:rsidRPr="001574AB">
        <w:rPr>
          <w:rFonts w:eastAsia="宋体"/>
          <w:b/>
          <w:bCs/>
          <w:color w:val="000000" w:themeColor="text1"/>
        </w:rPr>
        <w:t>Author Affiliations</w:t>
      </w:r>
    </w:p>
    <w:p w14:paraId="06A382D2" w14:textId="77777777" w:rsidR="00FD2C15" w:rsidRDefault="00FD2C15" w:rsidP="00FD2C15">
      <w:pPr>
        <w:adjustRightInd w:val="0"/>
        <w:snapToGrid w:val="0"/>
        <w:spacing w:line="480" w:lineRule="auto"/>
        <w:rPr>
          <w:rFonts w:eastAsia="宋体"/>
          <w:snapToGrid w:val="0"/>
          <w:color w:val="000000" w:themeColor="text1"/>
        </w:rPr>
      </w:pPr>
      <w:r w:rsidRPr="000B75F3">
        <w:rPr>
          <w:rFonts w:eastAsia="宋体"/>
          <w:snapToGrid w:val="0"/>
          <w:color w:val="000000" w:themeColor="text1"/>
          <w:vertAlign w:val="superscript"/>
        </w:rPr>
        <w:t xml:space="preserve">1 </w:t>
      </w:r>
      <w:r w:rsidRPr="00A836B0">
        <w:rPr>
          <w:rFonts w:eastAsia="宋体"/>
          <w:snapToGrid w:val="0"/>
          <w:color w:val="000000" w:themeColor="text1"/>
        </w:rPr>
        <w:t>Institute of Pathology and Southwest Cancer Center, Southwest Hospital, Third Military Medical University (Army Medical University) and Key Laboratory of Tumor Immunopathology, Ministry of Education of China, Chongqing 400038, China.</w:t>
      </w:r>
    </w:p>
    <w:p w14:paraId="49DE672F" w14:textId="77777777" w:rsidR="00FD2C15" w:rsidRDefault="00FD2C15" w:rsidP="00FD2C15">
      <w:pPr>
        <w:adjustRightInd w:val="0"/>
        <w:snapToGrid w:val="0"/>
        <w:spacing w:line="480" w:lineRule="auto"/>
        <w:rPr>
          <w:rFonts w:eastAsia="宋体"/>
          <w:snapToGrid w:val="0"/>
          <w:color w:val="000000" w:themeColor="text1"/>
        </w:rPr>
      </w:pPr>
      <w:r>
        <w:rPr>
          <w:rFonts w:eastAsia="宋体"/>
          <w:snapToGrid w:val="0"/>
          <w:color w:val="000000" w:themeColor="text1"/>
          <w:vertAlign w:val="superscript"/>
        </w:rPr>
        <w:t>2</w:t>
      </w:r>
      <w:r>
        <w:rPr>
          <w:rFonts w:eastAsia="宋体"/>
          <w:snapToGrid w:val="0"/>
          <w:color w:val="000000" w:themeColor="text1"/>
        </w:rPr>
        <w:t xml:space="preserve"> </w:t>
      </w:r>
      <w:r w:rsidRPr="003A769F">
        <w:rPr>
          <w:rFonts w:eastAsia="宋体"/>
          <w:snapToGrid w:val="0"/>
          <w:color w:val="000000" w:themeColor="text1"/>
        </w:rPr>
        <w:t>Army 953 Hospital, Shigatse Branch of Xinqiao Hospital, Third Military Medical University (Army Medical University), Shigatse, 857000, China</w:t>
      </w:r>
      <w:r>
        <w:rPr>
          <w:rFonts w:eastAsia="宋体" w:hint="eastAsia"/>
          <w:snapToGrid w:val="0"/>
          <w:color w:val="000000" w:themeColor="text1"/>
        </w:rPr>
        <w:t>.</w:t>
      </w:r>
    </w:p>
    <w:p w14:paraId="7429516C" w14:textId="77777777" w:rsidR="00FD2C15" w:rsidRDefault="00FD2C15" w:rsidP="00FD2C15">
      <w:pPr>
        <w:adjustRightInd w:val="0"/>
        <w:snapToGrid w:val="0"/>
        <w:spacing w:line="480" w:lineRule="auto"/>
        <w:rPr>
          <w:rFonts w:eastAsia="宋体"/>
          <w:snapToGrid w:val="0"/>
          <w:color w:val="000000" w:themeColor="text1"/>
        </w:rPr>
      </w:pPr>
      <w:r>
        <w:rPr>
          <w:rFonts w:eastAsia="宋体"/>
          <w:snapToGrid w:val="0"/>
          <w:color w:val="000000" w:themeColor="text1"/>
          <w:vertAlign w:val="superscript"/>
        </w:rPr>
        <w:t>3</w:t>
      </w:r>
      <w:r>
        <w:rPr>
          <w:rFonts w:eastAsia="宋体"/>
          <w:snapToGrid w:val="0"/>
          <w:color w:val="000000" w:themeColor="text1"/>
        </w:rPr>
        <w:t xml:space="preserve"> </w:t>
      </w:r>
      <w:r w:rsidRPr="00F0370E">
        <w:rPr>
          <w:rFonts w:eastAsia="宋体"/>
          <w:snapToGrid w:val="0"/>
          <w:color w:val="000000" w:themeColor="text1"/>
        </w:rPr>
        <w:t>Department of Neurosurgery, Xinqiao Hospital, Third Military Medical University (Army Medical University), Chongqing, PR China.</w:t>
      </w:r>
    </w:p>
    <w:p w14:paraId="70259D09" w14:textId="77777777" w:rsidR="00FD2C15" w:rsidRPr="003A769F" w:rsidRDefault="00FD2C15" w:rsidP="00FD2C15">
      <w:pPr>
        <w:adjustRightInd w:val="0"/>
        <w:snapToGrid w:val="0"/>
        <w:spacing w:line="480" w:lineRule="auto"/>
        <w:rPr>
          <w:rFonts w:eastAsia="宋体"/>
          <w:snapToGrid w:val="0"/>
          <w:color w:val="000000" w:themeColor="text1"/>
        </w:rPr>
      </w:pPr>
      <w:r>
        <w:rPr>
          <w:rFonts w:eastAsia="宋体"/>
          <w:snapToGrid w:val="0"/>
          <w:color w:val="000000" w:themeColor="text1"/>
          <w:vertAlign w:val="superscript"/>
        </w:rPr>
        <w:t>4</w:t>
      </w:r>
      <w:r>
        <w:rPr>
          <w:rFonts w:eastAsia="宋体"/>
          <w:snapToGrid w:val="0"/>
          <w:color w:val="000000" w:themeColor="text1"/>
        </w:rPr>
        <w:t xml:space="preserve"> </w:t>
      </w:r>
      <w:r w:rsidRPr="009A63AE">
        <w:rPr>
          <w:rFonts w:eastAsia="宋体"/>
          <w:snapToGrid w:val="0"/>
          <w:color w:val="000000" w:themeColor="text1"/>
        </w:rPr>
        <w:t>Department of Neurosurgery, Southwest Hospital, Third Military Medical University (Army Medical University), Chongqing, PR China.</w:t>
      </w:r>
    </w:p>
    <w:p w14:paraId="6E064566" w14:textId="77777777" w:rsidR="00FD2C15" w:rsidRPr="009C6454" w:rsidRDefault="00FD2C15" w:rsidP="00FD2C15">
      <w:pPr>
        <w:adjustRightInd w:val="0"/>
        <w:snapToGrid w:val="0"/>
        <w:spacing w:line="480" w:lineRule="auto"/>
        <w:rPr>
          <w:rFonts w:eastAsia="宋体"/>
          <w:snapToGrid w:val="0"/>
          <w:color w:val="000000" w:themeColor="text1"/>
        </w:rPr>
      </w:pPr>
    </w:p>
    <w:p w14:paraId="01A13FE3" w14:textId="77777777" w:rsidR="00FD2C15" w:rsidRPr="009C6454" w:rsidRDefault="00FD2C15" w:rsidP="00FD2C15">
      <w:pPr>
        <w:adjustRightInd w:val="0"/>
        <w:snapToGrid w:val="0"/>
        <w:spacing w:line="480" w:lineRule="auto"/>
        <w:rPr>
          <w:rFonts w:eastAsia="宋体" w:cs="Times New Roman"/>
          <w:szCs w:val="24"/>
        </w:rPr>
      </w:pPr>
      <w:r w:rsidRPr="009C6454">
        <w:rPr>
          <w:rFonts w:cs="Times New Roman"/>
          <w:szCs w:val="24"/>
        </w:rPr>
        <w:t>*</w:t>
      </w:r>
      <w:r w:rsidRPr="009C6454">
        <w:rPr>
          <w:rFonts w:eastAsia="宋体" w:cs="Times New Roman"/>
          <w:b/>
          <w:szCs w:val="24"/>
        </w:rPr>
        <w:t xml:space="preserve">Correspondence: </w:t>
      </w:r>
      <w:r w:rsidRPr="009C6454">
        <w:rPr>
          <w:rFonts w:eastAsia="宋体" w:cs="Times New Roman"/>
          <w:szCs w:val="24"/>
        </w:rPr>
        <w:t>Yi-</w:t>
      </w:r>
      <w:r w:rsidRPr="009C6454">
        <w:rPr>
          <w:rFonts w:eastAsia="宋体" w:cs="Times New Roman" w:hint="eastAsia"/>
          <w:szCs w:val="24"/>
        </w:rPr>
        <w:t>f</w:t>
      </w:r>
      <w:r w:rsidRPr="009C6454">
        <w:rPr>
          <w:rFonts w:eastAsia="宋体" w:cs="Times New Roman"/>
          <w:szCs w:val="24"/>
        </w:rPr>
        <w:t>ang Ping (pingyifang@126.com) or Xiu-wu Bian (bianxiuwu@263.net, lead contact) or Yu Shi (drshiyu@126.com)</w:t>
      </w:r>
    </w:p>
    <w:p w14:paraId="028BEEE9" w14:textId="58D89AD0" w:rsidR="009F3EB7" w:rsidRDefault="009F3EB7">
      <w:pPr>
        <w:widowControl/>
        <w:spacing w:line="240" w:lineRule="auto"/>
        <w:jc w:val="left"/>
        <w:rPr>
          <w:rFonts w:eastAsia="宋体"/>
        </w:rPr>
      </w:pPr>
      <w:r>
        <w:rPr>
          <w:rFonts w:eastAsia="宋体"/>
        </w:rPr>
        <w:br w:type="page"/>
      </w:r>
    </w:p>
    <w:p w14:paraId="08B7F8C1" w14:textId="6488E415" w:rsidR="009F3EB7" w:rsidRDefault="009F3EB7" w:rsidP="00044CA3">
      <w:pPr>
        <w:adjustRightInd w:val="0"/>
        <w:snapToGrid w:val="0"/>
        <w:spacing w:line="480" w:lineRule="auto"/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0" distR="0" wp14:anchorId="72A2EB84" wp14:editId="7DA8B3F6">
            <wp:extent cx="5274310" cy="7092950"/>
            <wp:effectExtent l="0" t="0" r="0" b="6350"/>
            <wp:docPr id="1908607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07476" name="图片 1908607476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DA33" w14:textId="77777777" w:rsidR="009F3EB7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</w:p>
    <w:p w14:paraId="19A08E86" w14:textId="77777777" w:rsidR="009F3EB7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  <w:r w:rsidRPr="0079141F">
        <w:rPr>
          <w:rFonts w:eastAsia="宋体"/>
          <w:b/>
          <w:bCs/>
        </w:rPr>
        <w:t>Supplementary Fig.1 Expression profile and gene enrichment analysis of pericyte subpopulation markers</w:t>
      </w:r>
      <w:r>
        <w:rPr>
          <w:rFonts w:eastAsia="宋体" w:hint="eastAsia"/>
          <w:b/>
          <w:bCs/>
        </w:rPr>
        <w:t>.</w:t>
      </w:r>
      <w:r>
        <w:rPr>
          <w:rFonts w:eastAsia="宋体"/>
          <w:b/>
          <w:bCs/>
        </w:rPr>
        <w:t xml:space="preserve"> </w:t>
      </w:r>
    </w:p>
    <w:p w14:paraId="156E1354" w14:textId="47A82BAE" w:rsidR="009F3EB7" w:rsidRDefault="009F3EB7" w:rsidP="009F3EB7">
      <w:pPr>
        <w:adjustRightInd w:val="0"/>
        <w:snapToGrid w:val="0"/>
        <w:spacing w:line="480" w:lineRule="auto"/>
        <w:rPr>
          <w:rFonts w:eastAsia="宋体"/>
        </w:rPr>
      </w:pPr>
      <w:r w:rsidRPr="00104628">
        <w:rPr>
          <w:rFonts w:eastAsia="宋体"/>
          <w:b/>
          <w:bCs/>
        </w:rPr>
        <w:t>(A)</w:t>
      </w:r>
      <w:r w:rsidRPr="000B75F3">
        <w:rPr>
          <w:rFonts w:eastAsia="宋体"/>
        </w:rPr>
        <w:t xml:space="preserve"> Expression of biomarkers used for all cell annotation in single-cell data. </w:t>
      </w:r>
      <w:r w:rsidRPr="00104628">
        <w:rPr>
          <w:rFonts w:eastAsia="宋体"/>
          <w:b/>
          <w:bCs/>
        </w:rPr>
        <w:t>(B)</w:t>
      </w:r>
      <w:r w:rsidRPr="000B75F3">
        <w:rPr>
          <w:rFonts w:eastAsia="宋体"/>
        </w:rPr>
        <w:t xml:space="preserve"> Histological type, </w:t>
      </w:r>
      <w:proofErr w:type="gramStart"/>
      <w:r w:rsidRPr="000B75F3">
        <w:rPr>
          <w:rFonts w:eastAsia="宋体"/>
        </w:rPr>
        <w:t>grade</w:t>
      </w:r>
      <w:proofErr w:type="gramEnd"/>
      <w:r w:rsidRPr="000B75F3">
        <w:rPr>
          <w:rFonts w:eastAsia="宋体"/>
        </w:rPr>
        <w:t xml:space="preserve"> and molecular pathology information of each sample. </w:t>
      </w:r>
      <w:r>
        <w:rPr>
          <w:rFonts w:eastAsia="宋体"/>
        </w:rPr>
        <w:br w:type="page"/>
      </w:r>
    </w:p>
    <w:p w14:paraId="36DB1686" w14:textId="7778BFC8" w:rsidR="009F3EB7" w:rsidRDefault="009F3EB7" w:rsidP="009F3EB7">
      <w:pPr>
        <w:adjustRightInd w:val="0"/>
        <w:snapToGrid w:val="0"/>
        <w:spacing w:line="480" w:lineRule="auto"/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0" distR="0" wp14:anchorId="6E624800" wp14:editId="77B05D0B">
            <wp:extent cx="5274310" cy="4960800"/>
            <wp:effectExtent l="0" t="0" r="0" b="5080"/>
            <wp:docPr id="15242615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61549" name="图片 1524261549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49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B0552" w14:textId="77777777" w:rsidR="009F3EB7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</w:p>
    <w:p w14:paraId="0594B245" w14:textId="059F53B5" w:rsidR="009F3EB7" w:rsidRPr="0079141F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  <w:r w:rsidRPr="0079141F">
        <w:rPr>
          <w:rFonts w:eastAsia="宋体"/>
          <w:b/>
          <w:bCs/>
        </w:rPr>
        <w:t>Supplementary Fig.2 Chromosome copy number variation analysis and expression profile of pericyte subpopulation markers</w:t>
      </w:r>
    </w:p>
    <w:p w14:paraId="3487A27C" w14:textId="77777777" w:rsidR="009F3EB7" w:rsidRPr="000B75F3" w:rsidRDefault="009F3EB7" w:rsidP="009F3EB7">
      <w:pPr>
        <w:adjustRightInd w:val="0"/>
        <w:snapToGrid w:val="0"/>
        <w:spacing w:line="480" w:lineRule="auto"/>
        <w:rPr>
          <w:rFonts w:eastAsia="宋体"/>
        </w:rPr>
      </w:pPr>
      <w:r w:rsidRPr="00104628">
        <w:rPr>
          <w:rFonts w:eastAsia="宋体"/>
          <w:b/>
          <w:bCs/>
        </w:rPr>
        <w:t>(A)</w:t>
      </w:r>
      <w:r w:rsidRPr="000B75F3">
        <w:rPr>
          <w:rFonts w:eastAsia="宋体"/>
        </w:rPr>
        <w:t xml:space="preserve"> Chromosome copy number variation analysis of InferCNV performed on tumor cells (bottom) with non-tumor cells as control (top). </w:t>
      </w:r>
      <w:r w:rsidRPr="00104628">
        <w:rPr>
          <w:rFonts w:eastAsia="宋体"/>
          <w:b/>
          <w:bCs/>
        </w:rPr>
        <w:t>(B)</w:t>
      </w:r>
      <w:r w:rsidRPr="000B75F3">
        <w:rPr>
          <w:rFonts w:eastAsia="宋体"/>
        </w:rPr>
        <w:t xml:space="preserve"> Expression of markers for each subpopulation of pericytes.</w:t>
      </w:r>
    </w:p>
    <w:p w14:paraId="6AB69B69" w14:textId="3F887C21" w:rsidR="009F3EB7" w:rsidRDefault="009F3EB7">
      <w:pPr>
        <w:widowControl/>
        <w:spacing w:line="240" w:lineRule="auto"/>
        <w:jc w:val="left"/>
        <w:rPr>
          <w:rFonts w:eastAsia="宋体"/>
        </w:rPr>
      </w:pPr>
      <w:r>
        <w:rPr>
          <w:rFonts w:eastAsia="宋体"/>
        </w:rPr>
        <w:br w:type="page"/>
      </w:r>
    </w:p>
    <w:p w14:paraId="720EC278" w14:textId="50DEA8D3" w:rsidR="009F3EB7" w:rsidRPr="000B75F3" w:rsidRDefault="009F3EB7" w:rsidP="009F3EB7">
      <w:pPr>
        <w:tabs>
          <w:tab w:val="left" w:pos="1451"/>
        </w:tabs>
        <w:adjustRightInd w:val="0"/>
        <w:snapToGrid w:val="0"/>
        <w:spacing w:line="480" w:lineRule="auto"/>
        <w:rPr>
          <w:rFonts w:eastAsia="宋体"/>
        </w:rPr>
      </w:pPr>
      <w:r>
        <w:rPr>
          <w:rFonts w:eastAsia="宋体"/>
        </w:rPr>
        <w:lastRenderedPageBreak/>
        <w:tab/>
      </w:r>
      <w:r>
        <w:rPr>
          <w:rFonts w:eastAsia="宋体" w:hint="eastAsia"/>
          <w:noProof/>
        </w:rPr>
        <w:drawing>
          <wp:inline distT="0" distB="0" distL="0" distR="0" wp14:anchorId="08FF7482" wp14:editId="3FD84C87">
            <wp:extent cx="5274310" cy="7092950"/>
            <wp:effectExtent l="0" t="0" r="0" b="6350"/>
            <wp:docPr id="10108786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78626" name="图片 1010878626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59F1E" w14:textId="77777777" w:rsidR="009F3EB7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</w:p>
    <w:p w14:paraId="420EBA05" w14:textId="437113E9" w:rsidR="009F3EB7" w:rsidRPr="0079141F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  <w:r w:rsidRPr="0079141F">
        <w:rPr>
          <w:rFonts w:eastAsia="宋体"/>
          <w:b/>
          <w:bCs/>
        </w:rPr>
        <w:t>Supplementary Fig.3 The diversity function of pericyte subpopulations</w:t>
      </w:r>
    </w:p>
    <w:p w14:paraId="4A03200B" w14:textId="77777777" w:rsidR="009F3EB7" w:rsidRPr="000B75F3" w:rsidRDefault="009F3EB7" w:rsidP="009F3EB7">
      <w:pPr>
        <w:adjustRightInd w:val="0"/>
        <w:snapToGrid w:val="0"/>
        <w:spacing w:line="480" w:lineRule="auto"/>
        <w:rPr>
          <w:rFonts w:eastAsia="宋体"/>
        </w:rPr>
      </w:pPr>
      <w:r w:rsidRPr="00104628">
        <w:rPr>
          <w:rFonts w:eastAsia="宋体"/>
          <w:b/>
          <w:bCs/>
        </w:rPr>
        <w:t xml:space="preserve">(A) </w:t>
      </w:r>
      <w:r w:rsidRPr="000B75F3">
        <w:rPr>
          <w:rFonts w:eastAsia="宋体"/>
        </w:rPr>
        <w:t xml:space="preserve">Co-expression of PTPRZ1 and RGS5 in pericytes. </w:t>
      </w:r>
      <w:r w:rsidRPr="00104628">
        <w:rPr>
          <w:rFonts w:eastAsia="宋体"/>
          <w:b/>
          <w:bCs/>
        </w:rPr>
        <w:t>(B)</w:t>
      </w:r>
      <w:r w:rsidRPr="000B75F3">
        <w:rPr>
          <w:rFonts w:eastAsia="宋体"/>
        </w:rPr>
        <w:t xml:space="preserve"> Prediction of the bicellular ratio of pericytes. </w:t>
      </w:r>
      <w:r w:rsidRPr="00104628">
        <w:rPr>
          <w:rFonts w:eastAsia="宋体"/>
          <w:b/>
          <w:bCs/>
        </w:rPr>
        <w:t>(C)</w:t>
      </w:r>
      <w:r w:rsidRPr="000B75F3">
        <w:rPr>
          <w:rFonts w:eastAsia="宋体"/>
        </w:rPr>
        <w:t xml:space="preserve"> Analysis of chromosomal copy number variation of PC2 using </w:t>
      </w:r>
      <w:r w:rsidRPr="000B75F3">
        <w:rPr>
          <w:rFonts w:eastAsia="宋体"/>
        </w:rPr>
        <w:lastRenderedPageBreak/>
        <w:t xml:space="preserve">pericyte subtypes (bottom), other than PC2 as a control (top). </w:t>
      </w:r>
      <w:r w:rsidRPr="00104628">
        <w:rPr>
          <w:rFonts w:eastAsia="宋体"/>
          <w:b/>
          <w:bCs/>
        </w:rPr>
        <w:t xml:space="preserve">(D) </w:t>
      </w:r>
      <w:r w:rsidRPr="000B75F3">
        <w:rPr>
          <w:rFonts w:eastAsia="宋体"/>
        </w:rPr>
        <w:t xml:space="preserve">Developmental and injury-responsive gene sets scored in each subtype of pericytes. </w:t>
      </w:r>
      <w:r w:rsidRPr="00104628">
        <w:rPr>
          <w:rFonts w:eastAsia="宋体"/>
          <w:b/>
          <w:bCs/>
        </w:rPr>
        <w:t>(E)</w:t>
      </w:r>
      <w:r w:rsidRPr="000B75F3">
        <w:rPr>
          <w:rFonts w:eastAsia="宋体"/>
        </w:rPr>
        <w:t xml:space="preserve"> Proposed time series analysis of pericyte subpopulations. </w:t>
      </w:r>
      <w:r w:rsidRPr="00104628">
        <w:rPr>
          <w:rFonts w:eastAsia="宋体"/>
          <w:b/>
          <w:bCs/>
        </w:rPr>
        <w:t>(F)</w:t>
      </w:r>
      <w:r w:rsidRPr="000B75F3">
        <w:rPr>
          <w:rFonts w:eastAsia="宋体"/>
        </w:rPr>
        <w:t xml:space="preserve"> Heat map showing the correlation between gene expression profiles of human and murine pericytes.</w:t>
      </w:r>
    </w:p>
    <w:p w14:paraId="741BB201" w14:textId="711B0C17" w:rsidR="009F3EB7" w:rsidRDefault="009F3EB7">
      <w:pPr>
        <w:widowControl/>
        <w:spacing w:line="240" w:lineRule="auto"/>
        <w:jc w:val="left"/>
        <w:rPr>
          <w:rFonts w:eastAsia="宋体"/>
        </w:rPr>
      </w:pPr>
      <w:r>
        <w:rPr>
          <w:rFonts w:eastAsia="宋体"/>
        </w:rPr>
        <w:br w:type="page"/>
      </w:r>
    </w:p>
    <w:p w14:paraId="35ABCB09" w14:textId="79FCDD49" w:rsidR="009F3EB7" w:rsidRPr="009F3EB7" w:rsidRDefault="009F3EB7" w:rsidP="00044CA3">
      <w:pPr>
        <w:adjustRightInd w:val="0"/>
        <w:snapToGrid w:val="0"/>
        <w:spacing w:line="480" w:lineRule="auto"/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0" distR="0" wp14:anchorId="74C242DC" wp14:editId="410BA0B6">
            <wp:extent cx="5274310" cy="6163200"/>
            <wp:effectExtent l="0" t="0" r="0" b="0"/>
            <wp:docPr id="19455654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565450" name="图片 1945565450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616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268F3" w14:textId="77777777" w:rsidR="009F3EB7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</w:p>
    <w:p w14:paraId="76214B6B" w14:textId="5D7E98A2" w:rsidR="009F3EB7" w:rsidRPr="0079141F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  <w:r w:rsidRPr="0079141F">
        <w:rPr>
          <w:rFonts w:eastAsia="宋体"/>
          <w:b/>
          <w:bCs/>
        </w:rPr>
        <w:t>Supplementary Fig.4 Expression characteristics of MMP9 in glioma</w:t>
      </w:r>
    </w:p>
    <w:p w14:paraId="765737E3" w14:textId="77777777" w:rsidR="009F3EB7" w:rsidRPr="000B75F3" w:rsidRDefault="009F3EB7" w:rsidP="009F3EB7">
      <w:pPr>
        <w:adjustRightInd w:val="0"/>
        <w:snapToGrid w:val="0"/>
        <w:spacing w:line="480" w:lineRule="auto"/>
        <w:rPr>
          <w:rFonts w:eastAsia="宋体"/>
        </w:rPr>
      </w:pPr>
      <w:r w:rsidRPr="00104628">
        <w:rPr>
          <w:rFonts w:eastAsia="宋体"/>
          <w:b/>
          <w:bCs/>
        </w:rPr>
        <w:t xml:space="preserve">(A) </w:t>
      </w:r>
      <w:r w:rsidRPr="000B75F3">
        <w:rPr>
          <w:rFonts w:eastAsia="宋体"/>
        </w:rPr>
        <w:t xml:space="preserve">Heat map showing the most active transcription factors in pericytes. </w:t>
      </w:r>
      <w:r w:rsidRPr="00104628">
        <w:rPr>
          <w:rFonts w:eastAsia="宋体"/>
          <w:b/>
          <w:bCs/>
        </w:rPr>
        <w:t>(B)</w:t>
      </w:r>
      <w:r w:rsidRPr="000B75F3">
        <w:rPr>
          <w:rFonts w:eastAsia="宋体"/>
        </w:rPr>
        <w:t xml:space="preserve"> Expression of biomarkers used for all cell annotation in glioma peti-tumor single cell data. </w:t>
      </w:r>
      <w:r w:rsidRPr="00104628">
        <w:rPr>
          <w:rFonts w:eastAsia="宋体"/>
          <w:b/>
          <w:bCs/>
        </w:rPr>
        <w:t>(C)</w:t>
      </w:r>
      <w:r w:rsidRPr="000B75F3">
        <w:rPr>
          <w:rFonts w:eastAsia="宋体"/>
        </w:rPr>
        <w:t xml:space="preserve"> Bubble plot showing that MMP9 was mainly expressed on pericytes. </w:t>
      </w:r>
      <w:r w:rsidRPr="00104628">
        <w:rPr>
          <w:rFonts w:eastAsia="宋体"/>
          <w:b/>
          <w:bCs/>
        </w:rPr>
        <w:t>(D)</w:t>
      </w:r>
      <w:r w:rsidRPr="000B75F3">
        <w:rPr>
          <w:rFonts w:eastAsia="宋体"/>
        </w:rPr>
        <w:t xml:space="preserve"> IVY database analysis of the spatial location of MMP9 expression in the vascular zone. </w:t>
      </w:r>
      <w:r w:rsidRPr="00104628">
        <w:rPr>
          <w:rFonts w:eastAsia="宋体"/>
          <w:b/>
          <w:bCs/>
        </w:rPr>
        <w:t>(E)</w:t>
      </w:r>
      <w:r w:rsidRPr="000B75F3">
        <w:rPr>
          <w:rFonts w:eastAsia="宋体"/>
        </w:rPr>
        <w:t xml:space="preserve"> Box plot showing MMP9 expression in GBM and normal brain tissues. </w:t>
      </w:r>
    </w:p>
    <w:p w14:paraId="4C31E25F" w14:textId="7885311D" w:rsidR="009F3EB7" w:rsidRDefault="009F3EB7">
      <w:pPr>
        <w:widowControl/>
        <w:spacing w:line="240" w:lineRule="auto"/>
        <w:jc w:val="left"/>
        <w:rPr>
          <w:rFonts w:eastAsia="宋体"/>
        </w:rPr>
      </w:pPr>
      <w:r>
        <w:rPr>
          <w:rFonts w:eastAsia="宋体"/>
        </w:rPr>
        <w:br w:type="page"/>
      </w:r>
    </w:p>
    <w:p w14:paraId="6649B5FD" w14:textId="3E3BC8B9" w:rsidR="009F3EB7" w:rsidRDefault="009F3EB7" w:rsidP="00044CA3">
      <w:pPr>
        <w:adjustRightInd w:val="0"/>
        <w:snapToGrid w:val="0"/>
        <w:spacing w:line="480" w:lineRule="auto"/>
        <w:rPr>
          <w:rFonts w:eastAsia="宋体"/>
        </w:rPr>
      </w:pPr>
      <w:r>
        <w:rPr>
          <w:rFonts w:eastAsia="宋体" w:hint="eastAsia"/>
          <w:noProof/>
        </w:rPr>
        <w:lastRenderedPageBreak/>
        <w:drawing>
          <wp:inline distT="0" distB="0" distL="0" distR="0" wp14:anchorId="1690314F" wp14:editId="0D7A61B0">
            <wp:extent cx="5274310" cy="5911200"/>
            <wp:effectExtent l="0" t="0" r="0" b="0"/>
            <wp:docPr id="6622437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43709" name="图片 662243709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591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4A79B" w14:textId="77777777" w:rsidR="009F3EB7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</w:p>
    <w:p w14:paraId="35D50CFB" w14:textId="5293F681" w:rsidR="009F3EB7" w:rsidRPr="0079141F" w:rsidRDefault="009F3EB7" w:rsidP="009F3EB7">
      <w:pPr>
        <w:adjustRightInd w:val="0"/>
        <w:snapToGrid w:val="0"/>
        <w:spacing w:line="480" w:lineRule="auto"/>
        <w:rPr>
          <w:rFonts w:eastAsia="宋体"/>
          <w:b/>
          <w:bCs/>
        </w:rPr>
      </w:pPr>
      <w:r w:rsidRPr="0079141F">
        <w:rPr>
          <w:rFonts w:eastAsia="宋体"/>
          <w:b/>
          <w:bCs/>
        </w:rPr>
        <w:t>Supplementary Fig.5 Clinical prognostic characteristics of MMP9</w:t>
      </w:r>
      <w:r w:rsidRPr="0079141F">
        <w:rPr>
          <w:rFonts w:eastAsia="宋体"/>
          <w:b/>
          <w:bCs/>
          <w:vertAlign w:val="superscript"/>
        </w:rPr>
        <w:t>+</w:t>
      </w:r>
      <w:r w:rsidRPr="0079141F">
        <w:rPr>
          <w:rFonts w:eastAsia="宋体"/>
          <w:b/>
          <w:bCs/>
        </w:rPr>
        <w:t xml:space="preserve"> PC</w:t>
      </w:r>
    </w:p>
    <w:p w14:paraId="495FBB0C" w14:textId="77777777" w:rsidR="009F3EB7" w:rsidRPr="000B75F3" w:rsidRDefault="009F3EB7" w:rsidP="009F3EB7">
      <w:pPr>
        <w:adjustRightInd w:val="0"/>
        <w:snapToGrid w:val="0"/>
        <w:spacing w:line="480" w:lineRule="auto"/>
        <w:rPr>
          <w:rFonts w:eastAsia="宋体"/>
        </w:rPr>
      </w:pPr>
      <w:r w:rsidRPr="00104628">
        <w:rPr>
          <w:rFonts w:eastAsia="宋体"/>
          <w:b/>
          <w:bCs/>
        </w:rPr>
        <w:t>(A)</w:t>
      </w:r>
      <w:r w:rsidRPr="000B75F3">
        <w:rPr>
          <w:rFonts w:eastAsia="宋体"/>
        </w:rPr>
        <w:t xml:space="preserve"> Univariate C</w:t>
      </w:r>
      <w:r w:rsidRPr="000B75F3">
        <w:rPr>
          <w:rFonts w:eastAsia="宋体" w:hint="eastAsia"/>
        </w:rPr>
        <w:t>ox</w:t>
      </w:r>
      <w:r w:rsidRPr="000B75F3">
        <w:rPr>
          <w:rFonts w:eastAsia="宋体"/>
        </w:rPr>
        <w:t xml:space="preserve"> regression analysis of clinical characteristics, molecular information and MMP9</w:t>
      </w:r>
      <w:r w:rsidRPr="000B75F3">
        <w:rPr>
          <w:rFonts w:eastAsia="宋体"/>
          <w:vertAlign w:val="superscript"/>
        </w:rPr>
        <w:t>+</w:t>
      </w:r>
      <w:r w:rsidRPr="000B75F3">
        <w:rPr>
          <w:rFonts w:eastAsia="宋体"/>
        </w:rPr>
        <w:t xml:space="preserve"> PC in the TCGA GBM database. </w:t>
      </w:r>
      <w:r w:rsidRPr="00104628">
        <w:rPr>
          <w:rFonts w:eastAsia="宋体"/>
          <w:b/>
          <w:bCs/>
        </w:rPr>
        <w:t>(B)</w:t>
      </w:r>
      <w:r w:rsidRPr="000B75F3">
        <w:rPr>
          <w:rFonts w:eastAsia="宋体"/>
        </w:rPr>
        <w:t xml:space="preserve"> Multivariate C</w:t>
      </w:r>
      <w:r w:rsidRPr="000B75F3">
        <w:rPr>
          <w:rFonts w:eastAsia="宋体" w:hint="eastAsia"/>
        </w:rPr>
        <w:t>ox</w:t>
      </w:r>
      <w:r w:rsidRPr="000B75F3">
        <w:rPr>
          <w:rFonts w:eastAsia="宋体"/>
        </w:rPr>
        <w:t xml:space="preserve"> regression analysis of prognostic significance factors in (A). </w:t>
      </w:r>
      <w:r w:rsidRPr="00104628">
        <w:rPr>
          <w:rFonts w:eastAsia="宋体"/>
          <w:b/>
          <w:bCs/>
        </w:rPr>
        <w:t>(C)</w:t>
      </w:r>
      <w:r w:rsidRPr="000B75F3">
        <w:rPr>
          <w:rFonts w:eastAsia="宋体"/>
        </w:rPr>
        <w:t xml:space="preserve"> KM survival analysis of MMP9</w:t>
      </w:r>
      <w:r w:rsidRPr="000B75F3">
        <w:rPr>
          <w:rFonts w:eastAsia="宋体"/>
          <w:vertAlign w:val="superscript"/>
        </w:rPr>
        <w:t xml:space="preserve">+ </w:t>
      </w:r>
      <w:r w:rsidRPr="000B75F3">
        <w:rPr>
          <w:rFonts w:eastAsia="宋体"/>
        </w:rPr>
        <w:t>PC in the TCGA GBM database.</w:t>
      </w:r>
    </w:p>
    <w:p w14:paraId="1304A1FC" w14:textId="77777777" w:rsidR="009F3EB7" w:rsidRPr="009F3EB7" w:rsidRDefault="009F3EB7" w:rsidP="00044CA3">
      <w:pPr>
        <w:adjustRightInd w:val="0"/>
        <w:snapToGrid w:val="0"/>
        <w:spacing w:line="480" w:lineRule="auto"/>
        <w:rPr>
          <w:rFonts w:eastAsia="宋体"/>
        </w:rPr>
      </w:pPr>
    </w:p>
    <w:sectPr w:rsidR="009F3EB7" w:rsidRPr="009F3EB7" w:rsidSect="009F3EB7">
      <w:footerReference w:type="default" r:id="rId12"/>
      <w:pgSz w:w="11906" w:h="16838"/>
      <w:pgMar w:top="1034" w:right="1800" w:bottom="1576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A1A2" w14:textId="77777777" w:rsidR="00DA14E6" w:rsidRDefault="00DA14E6">
      <w:pPr>
        <w:spacing w:line="240" w:lineRule="auto"/>
      </w:pPr>
      <w:r>
        <w:separator/>
      </w:r>
    </w:p>
  </w:endnote>
  <w:endnote w:type="continuationSeparator" w:id="0">
    <w:p w14:paraId="3AF5DFA1" w14:textId="77777777" w:rsidR="00DA14E6" w:rsidRDefault="00DA14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484668"/>
      <w:docPartObj>
        <w:docPartGallery w:val="Page Numbers (Bottom of Page)"/>
        <w:docPartUnique/>
      </w:docPartObj>
    </w:sdtPr>
    <w:sdtContent>
      <w:p w14:paraId="1570E4C7" w14:textId="0BEB9B1A" w:rsidR="00760EB9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EB7">
          <w:rPr>
            <w:noProof/>
          </w:rPr>
          <w:t>1</w:t>
        </w:r>
        <w:r>
          <w:fldChar w:fldCharType="end"/>
        </w:r>
      </w:p>
    </w:sdtContent>
  </w:sdt>
  <w:p w14:paraId="27055413" w14:textId="77777777" w:rsidR="00760EB9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73E44" w14:textId="77777777" w:rsidR="00DA14E6" w:rsidRDefault="00DA14E6">
      <w:pPr>
        <w:spacing w:line="240" w:lineRule="auto"/>
      </w:pPr>
      <w:r>
        <w:separator/>
      </w:r>
    </w:p>
  </w:footnote>
  <w:footnote w:type="continuationSeparator" w:id="0">
    <w:p w14:paraId="7D6F7BF8" w14:textId="77777777" w:rsidR="00DA14E6" w:rsidRDefault="00DA14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42524"/>
    <w:multiLevelType w:val="hybridMultilevel"/>
    <w:tmpl w:val="080AC85C"/>
    <w:lvl w:ilvl="0" w:tplc="067AC13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7D24AC"/>
    <w:multiLevelType w:val="multilevel"/>
    <w:tmpl w:val="3C58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F424F3"/>
    <w:multiLevelType w:val="hybridMultilevel"/>
    <w:tmpl w:val="07EAE2B0"/>
    <w:lvl w:ilvl="0" w:tplc="17FC9AFA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61674274">
    <w:abstractNumId w:val="1"/>
  </w:num>
  <w:num w:numId="2" w16cid:durableId="276066099">
    <w:abstractNumId w:val="0"/>
  </w:num>
  <w:num w:numId="3" w16cid:durableId="254674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F3"/>
    <w:rsid w:val="00015A6B"/>
    <w:rsid w:val="00024146"/>
    <w:rsid w:val="0002574A"/>
    <w:rsid w:val="00044CA3"/>
    <w:rsid w:val="00062275"/>
    <w:rsid w:val="00064EE8"/>
    <w:rsid w:val="000727B0"/>
    <w:rsid w:val="00092784"/>
    <w:rsid w:val="00095CC4"/>
    <w:rsid w:val="000B75F3"/>
    <w:rsid w:val="000F227E"/>
    <w:rsid w:val="000F61D3"/>
    <w:rsid w:val="00104628"/>
    <w:rsid w:val="001269D5"/>
    <w:rsid w:val="00131327"/>
    <w:rsid w:val="001574AB"/>
    <w:rsid w:val="00161076"/>
    <w:rsid w:val="0019134B"/>
    <w:rsid w:val="001F3A31"/>
    <w:rsid w:val="00236204"/>
    <w:rsid w:val="0025365A"/>
    <w:rsid w:val="002918DB"/>
    <w:rsid w:val="002B198E"/>
    <w:rsid w:val="002E2161"/>
    <w:rsid w:val="002E6190"/>
    <w:rsid w:val="00350BBA"/>
    <w:rsid w:val="003A769F"/>
    <w:rsid w:val="003B0D05"/>
    <w:rsid w:val="003D1508"/>
    <w:rsid w:val="003D6633"/>
    <w:rsid w:val="003E3A77"/>
    <w:rsid w:val="00404CCE"/>
    <w:rsid w:val="00441B7E"/>
    <w:rsid w:val="004558A3"/>
    <w:rsid w:val="00473841"/>
    <w:rsid w:val="004927D6"/>
    <w:rsid w:val="00492C34"/>
    <w:rsid w:val="004E3233"/>
    <w:rsid w:val="004E3519"/>
    <w:rsid w:val="004E7B01"/>
    <w:rsid w:val="004F3948"/>
    <w:rsid w:val="00540D33"/>
    <w:rsid w:val="00542027"/>
    <w:rsid w:val="005464A9"/>
    <w:rsid w:val="00547679"/>
    <w:rsid w:val="00566DB9"/>
    <w:rsid w:val="005723FD"/>
    <w:rsid w:val="0057352D"/>
    <w:rsid w:val="00573E46"/>
    <w:rsid w:val="00580C03"/>
    <w:rsid w:val="00591D4A"/>
    <w:rsid w:val="00593A46"/>
    <w:rsid w:val="005965A5"/>
    <w:rsid w:val="005C7267"/>
    <w:rsid w:val="005D7CE7"/>
    <w:rsid w:val="005E564C"/>
    <w:rsid w:val="00603076"/>
    <w:rsid w:val="00625636"/>
    <w:rsid w:val="00643879"/>
    <w:rsid w:val="00644DFE"/>
    <w:rsid w:val="00646128"/>
    <w:rsid w:val="00665B21"/>
    <w:rsid w:val="006711AE"/>
    <w:rsid w:val="00675D41"/>
    <w:rsid w:val="006C6974"/>
    <w:rsid w:val="006E1621"/>
    <w:rsid w:val="006E7E24"/>
    <w:rsid w:val="006F6DAD"/>
    <w:rsid w:val="0072286E"/>
    <w:rsid w:val="0075292A"/>
    <w:rsid w:val="0079141F"/>
    <w:rsid w:val="00795EE5"/>
    <w:rsid w:val="007A2723"/>
    <w:rsid w:val="007C245B"/>
    <w:rsid w:val="007C4911"/>
    <w:rsid w:val="007F3F0B"/>
    <w:rsid w:val="00802B7B"/>
    <w:rsid w:val="00823CC5"/>
    <w:rsid w:val="00825E0E"/>
    <w:rsid w:val="0083156D"/>
    <w:rsid w:val="00840634"/>
    <w:rsid w:val="00875FD3"/>
    <w:rsid w:val="00881799"/>
    <w:rsid w:val="00896C25"/>
    <w:rsid w:val="008B74B7"/>
    <w:rsid w:val="008F504D"/>
    <w:rsid w:val="00911AEE"/>
    <w:rsid w:val="00917151"/>
    <w:rsid w:val="00917738"/>
    <w:rsid w:val="00933FB2"/>
    <w:rsid w:val="009440F9"/>
    <w:rsid w:val="009463E6"/>
    <w:rsid w:val="0095175E"/>
    <w:rsid w:val="00981A40"/>
    <w:rsid w:val="00981DBA"/>
    <w:rsid w:val="009A07BB"/>
    <w:rsid w:val="009A11E7"/>
    <w:rsid w:val="009A48AE"/>
    <w:rsid w:val="009A63AE"/>
    <w:rsid w:val="009B20B3"/>
    <w:rsid w:val="009C09CC"/>
    <w:rsid w:val="009C5338"/>
    <w:rsid w:val="009C6454"/>
    <w:rsid w:val="009F3EB7"/>
    <w:rsid w:val="00A1671E"/>
    <w:rsid w:val="00A34380"/>
    <w:rsid w:val="00A56417"/>
    <w:rsid w:val="00A836B0"/>
    <w:rsid w:val="00AA3816"/>
    <w:rsid w:val="00AD0D8D"/>
    <w:rsid w:val="00AD5D33"/>
    <w:rsid w:val="00AE0594"/>
    <w:rsid w:val="00AE6794"/>
    <w:rsid w:val="00B425D2"/>
    <w:rsid w:val="00B55A6F"/>
    <w:rsid w:val="00B605BC"/>
    <w:rsid w:val="00BB6A42"/>
    <w:rsid w:val="00BB6E7A"/>
    <w:rsid w:val="00BC22F8"/>
    <w:rsid w:val="00BD4542"/>
    <w:rsid w:val="00BD45D3"/>
    <w:rsid w:val="00BE6546"/>
    <w:rsid w:val="00C45FA9"/>
    <w:rsid w:val="00C57197"/>
    <w:rsid w:val="00C642A8"/>
    <w:rsid w:val="00C71A2A"/>
    <w:rsid w:val="00C82CB3"/>
    <w:rsid w:val="00C85D73"/>
    <w:rsid w:val="00C968AF"/>
    <w:rsid w:val="00CA7363"/>
    <w:rsid w:val="00CE0761"/>
    <w:rsid w:val="00CF32CC"/>
    <w:rsid w:val="00D179FE"/>
    <w:rsid w:val="00D34023"/>
    <w:rsid w:val="00D77BEB"/>
    <w:rsid w:val="00D86434"/>
    <w:rsid w:val="00DA02DF"/>
    <w:rsid w:val="00DA14E6"/>
    <w:rsid w:val="00DC41F9"/>
    <w:rsid w:val="00DC7DE1"/>
    <w:rsid w:val="00DF1F81"/>
    <w:rsid w:val="00DF5CBB"/>
    <w:rsid w:val="00E07014"/>
    <w:rsid w:val="00E431A3"/>
    <w:rsid w:val="00E47842"/>
    <w:rsid w:val="00E5183F"/>
    <w:rsid w:val="00E55844"/>
    <w:rsid w:val="00E6365E"/>
    <w:rsid w:val="00E76735"/>
    <w:rsid w:val="00E8520D"/>
    <w:rsid w:val="00E90B7A"/>
    <w:rsid w:val="00E935F6"/>
    <w:rsid w:val="00EA115D"/>
    <w:rsid w:val="00EB3672"/>
    <w:rsid w:val="00EC3492"/>
    <w:rsid w:val="00EC4ACE"/>
    <w:rsid w:val="00F00973"/>
    <w:rsid w:val="00F00E16"/>
    <w:rsid w:val="00F0370E"/>
    <w:rsid w:val="00F104DD"/>
    <w:rsid w:val="00F440E5"/>
    <w:rsid w:val="00F73A64"/>
    <w:rsid w:val="00F769F1"/>
    <w:rsid w:val="00F77A1E"/>
    <w:rsid w:val="00FD04A5"/>
    <w:rsid w:val="00FD1AFC"/>
    <w:rsid w:val="00FD211C"/>
    <w:rsid w:val="00F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15D66"/>
  <w15:chartTrackingRefBased/>
  <w15:docId w15:val="{5C9F3744-65C7-4428-ACC2-BFAE6EAA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5F3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B75F3"/>
    <w:pPr>
      <w:keepNext/>
      <w:keepLines/>
      <w:jc w:val="left"/>
      <w:outlineLvl w:val="0"/>
    </w:pPr>
    <w:rPr>
      <w:rFonts w:eastAsia="Times New Roman" w:cs="Times New Roman"/>
      <w:b/>
      <w:bCs/>
      <w:kern w:val="44"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0B75F3"/>
    <w:pPr>
      <w:keepNext/>
      <w:keepLines/>
      <w:outlineLvl w:val="1"/>
    </w:pPr>
    <w:rPr>
      <w:rFonts w:eastAsia="宋体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5F3"/>
    <w:rPr>
      <w:rFonts w:ascii="Times New Roman" w:eastAsia="Times New Roman" w:hAnsi="Times New Roman" w:cs="Times New Roman"/>
      <w:b/>
      <w:bCs/>
      <w:kern w:val="44"/>
      <w:sz w:val="24"/>
      <w:szCs w:val="21"/>
    </w:rPr>
  </w:style>
  <w:style w:type="character" w:customStyle="1" w:styleId="20">
    <w:name w:val="标题 2 字符"/>
    <w:basedOn w:val="a0"/>
    <w:link w:val="2"/>
    <w:uiPriority w:val="9"/>
    <w:rsid w:val="000B75F3"/>
    <w:rPr>
      <w:rFonts w:ascii="Times New Roman" w:eastAsia="宋体" w:hAnsi="Times New Roman" w:cstheme="majorBidi"/>
      <w:b/>
      <w:bCs/>
      <w:sz w:val="24"/>
      <w:szCs w:val="32"/>
    </w:rPr>
  </w:style>
  <w:style w:type="paragraph" w:styleId="a3">
    <w:name w:val="footer"/>
    <w:basedOn w:val="a"/>
    <w:link w:val="a4"/>
    <w:uiPriority w:val="99"/>
    <w:unhideWhenUsed/>
    <w:rsid w:val="000B75F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B75F3"/>
    <w:rPr>
      <w:rFonts w:ascii="Times New Roman" w:hAnsi="Times New Roman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0B75F3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0B75F3"/>
    <w:rPr>
      <w:rFonts w:ascii="Times New Roman" w:hAnsi="Times New Roman" w:cs="Times New Roman"/>
      <w:noProof/>
      <w:sz w:val="24"/>
    </w:rPr>
  </w:style>
  <w:style w:type="character" w:styleId="a5">
    <w:name w:val="Hyperlink"/>
    <w:basedOn w:val="a0"/>
    <w:uiPriority w:val="99"/>
    <w:unhideWhenUsed/>
    <w:rsid w:val="000B75F3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0B75F3"/>
  </w:style>
  <w:style w:type="character" w:styleId="a7">
    <w:name w:val="Unresolved Mention"/>
    <w:basedOn w:val="a0"/>
    <w:uiPriority w:val="99"/>
    <w:semiHidden/>
    <w:unhideWhenUsed/>
    <w:rsid w:val="00DF1F81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A11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7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ying</dc:creator>
  <cp:keywords/>
  <dc:description/>
  <cp:lastModifiedBy>Office</cp:lastModifiedBy>
  <cp:revision>145</cp:revision>
  <dcterms:created xsi:type="dcterms:W3CDTF">2023-05-09T01:50:00Z</dcterms:created>
  <dcterms:modified xsi:type="dcterms:W3CDTF">2023-06-05T08:42:00Z</dcterms:modified>
</cp:coreProperties>
</file>