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9EE6B" w14:textId="77777777" w:rsidR="0013214B" w:rsidRPr="00B04225" w:rsidRDefault="0013214B" w:rsidP="0013214B">
      <w:pPr>
        <w:widowControl w:val="0"/>
        <w:autoSpaceDE w:val="0"/>
        <w:autoSpaceDN w:val="0"/>
        <w:adjustRightInd w:val="0"/>
        <w:spacing w:line="480" w:lineRule="auto"/>
        <w:rPr>
          <w:b/>
        </w:rPr>
      </w:pPr>
      <w:r w:rsidRPr="00B04225">
        <w:rPr>
          <w:b/>
        </w:rPr>
        <w:t>Measures denoting Super-Organization in Focal Areas</w:t>
      </w:r>
    </w:p>
    <w:p w14:paraId="479C7316" w14:textId="77777777" w:rsidR="0013214B" w:rsidRDefault="0013214B" w:rsidP="0013214B">
      <w:pPr>
        <w:widowControl w:val="0"/>
        <w:autoSpaceDE w:val="0"/>
        <w:autoSpaceDN w:val="0"/>
        <w:adjustRightInd w:val="0"/>
        <w:spacing w:line="480" w:lineRule="auto"/>
      </w:pPr>
      <w:r>
        <w:t>Five</w:t>
      </w:r>
      <w:r w:rsidRPr="007B03D3">
        <w:t xml:space="preserve"> explanatory variables</w:t>
      </w:r>
      <w:r>
        <w:t xml:space="preserve"> denoting super-organization</w:t>
      </w:r>
      <w:r w:rsidRPr="007B03D3">
        <w:t xml:space="preserve"> were </w:t>
      </w:r>
      <w:r>
        <w:t>derive</w:t>
      </w:r>
      <w:r w:rsidRPr="007B03D3">
        <w:t>d through social network analysis</w:t>
      </w:r>
      <w:r>
        <w:t xml:space="preserve"> at the focal area level, corresponding to HRR. Respectively, these </w:t>
      </w:r>
      <w:proofErr w:type="gramStart"/>
      <w:r>
        <w:t>constitute</w:t>
      </w:r>
      <w:r w:rsidRPr="007B03D3">
        <w:t>:</w:t>
      </w:r>
      <w:proofErr w:type="gramEnd"/>
      <w:r w:rsidRPr="007B03D3">
        <w:t xml:space="preserve"> prevalence of nursing homes in</w:t>
      </w:r>
      <w:r>
        <w:t xml:space="preserve"> super-organization (multiple affiliation)</w:t>
      </w:r>
      <w:r w:rsidRPr="007B03D3">
        <w:t xml:space="preserve"> per </w:t>
      </w:r>
      <w:r>
        <w:t>HRR</w:t>
      </w:r>
      <w:r w:rsidRPr="007B03D3">
        <w:t xml:space="preserve">, mean size of nursing home </w:t>
      </w:r>
      <w:r>
        <w:t>ownership</w:t>
      </w:r>
      <w:r w:rsidRPr="007B03D3">
        <w:t xml:space="preserve"> group per </w:t>
      </w:r>
      <w:r>
        <w:t>HRR, Herfindahl-Hirschman Index, affiliation-accounted Herfindahl-Hirschman Index and the delta Herfindahl-Hirschman Index</w:t>
      </w:r>
      <w:r w:rsidRPr="007B03D3">
        <w:t>.</w:t>
      </w:r>
      <w:r>
        <w:t xml:space="preserve"> </w:t>
      </w:r>
    </w:p>
    <w:p w14:paraId="57F7E244" w14:textId="77777777" w:rsidR="0013214B" w:rsidRDefault="0013214B" w:rsidP="0013214B">
      <w:pPr>
        <w:widowControl w:val="0"/>
        <w:autoSpaceDE w:val="0"/>
        <w:autoSpaceDN w:val="0"/>
        <w:adjustRightInd w:val="0"/>
        <w:spacing w:line="480" w:lineRule="auto"/>
        <w:ind w:firstLine="720"/>
      </w:pPr>
      <w:r>
        <w:t xml:space="preserve">The Herfindahl-Hirschman Index (HHI) is a measure of nursing home competition within a focal area </w:t>
      </w:r>
      <w:r>
        <w:fldChar w:fldCharType="begin" w:fldLock="1"/>
      </w:r>
      <w:r>
        <w:instrText>ADDIN CSL_CITATION {"citationItems":[{"id":"ITEM-1","itemData":{"abstract":"This paper studies acquisitions of nursing home facilities by chains. We first test alternative ‘cream-skimming’ and ‘turn-around’ arguments concerning nursing home acquisitions. We then consider post-acquisition changes in nursing home health performance, differentiating effects of the acquisition process from those of prior strategy and performance of the acquired home and acquiring chain. Our dynamic empirical analysis of more than 5000 acquisitions by US nursing home chains from 1991 through 1997 shows that nursing home chain acquisitions are driven by a turn around logic, and that performance depends on the prior quality of the target and acquirer. Our analysis is relevant to policy on the nursing home sector, helping clarify why certain homes are acquired and how being acquired affects their residents’ welfare. At a more general level, we offer insights concerning strategic factors that promote acquisition and drive expansion of service sector chains","author":[{"dropping-particle":"","family":"Banaszak-Holl","given":"Jane","non-dropping-particle":"","parse-names":false,"suffix":""},{"dropping-particle":"","family":"Berta","given":"Whitney B;","non-dropping-particle":"","parse-names":false,"suffix":""},{"dropping-particle":"","family":"Bowman","given":"M ;","non-dropping-particle":"","parse-names":false,"suffix":""},{"dropping-particle":"","family":"Baum","given":"Joel A C;","non-dropping-particle":"","parse-names":false,"suffix":""},{"dropping-particle":"","family":"Mitchell","given":"Will","non-dropping-particle":"","parse-names":false,"suffix":""}],"container-title":"Managerial and Decision Economics","id":"ITEM-1","issue":"4,5","issued":{"date-parts":[["2002"]]},"page":"261-282","title":"The rise of human service chains: Antecedents to acquisitions and","type":"article-journal","volume":"23"},"uris":["http://www.mendeley.com/documents/?uuid=a5b4acb5-1324-4ad4-94b4-60bcc687af2b"]}],"mendeley":{"formattedCitation":"[2]","plainTextFormattedCitation":"[2]","previouslyFormattedCitation":"&lt;sup&gt;2&lt;/sup&gt;"},"properties":{"noteIndex":0},"schema":"https://github.com/citation-style-language/schema/raw/master/csl-citation.json"}</w:instrText>
      </w:r>
      <w:r>
        <w:fldChar w:fldCharType="separate"/>
      </w:r>
      <w:r w:rsidRPr="005F02AA">
        <w:rPr>
          <w:noProof/>
        </w:rPr>
        <w:t>[2]</w:t>
      </w:r>
      <w:r>
        <w:fldChar w:fldCharType="end"/>
      </w:r>
      <w:r>
        <w:t xml:space="preserve">. The derivation of the HHI among n, nursing homes located in </w:t>
      </w:r>
      <w:proofErr w:type="gramStart"/>
      <w:r>
        <w:t>a</w:t>
      </w:r>
      <w:proofErr w:type="gramEnd"/>
      <w:r>
        <w:t xml:space="preserve"> HRR at a specified time point is as follows:</w:t>
      </w:r>
    </w:p>
    <w:tbl>
      <w:tblPr>
        <w:tblStyle w:val="TableGrid"/>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704"/>
      </w:tblGrid>
      <w:tr w:rsidR="0013214B" w14:paraId="1D92172C" w14:textId="77777777" w:rsidTr="00887D1D">
        <w:trPr>
          <w:cantSplit/>
          <w:jc w:val="center"/>
        </w:trPr>
        <w:tc>
          <w:tcPr>
            <w:tcW w:w="8647" w:type="dxa"/>
            <w:vAlign w:val="center"/>
          </w:tcPr>
          <w:p w14:paraId="5BB02B49" w14:textId="77777777" w:rsidR="0013214B" w:rsidRDefault="0013214B" w:rsidP="00887D1D">
            <w:pPr>
              <w:widowControl w:val="0"/>
              <w:autoSpaceDE w:val="0"/>
              <w:autoSpaceDN w:val="0"/>
              <w:adjustRightInd w:val="0"/>
              <w:spacing w:line="480" w:lineRule="auto"/>
            </w:pPr>
            <m:oMathPara>
              <m:oMath>
                <m:r>
                  <w:rPr>
                    <w:rFonts w:ascii="Cambria Math" w:hAnsi="Cambria Math"/>
                  </w:rPr>
                  <m:t>HHI=</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m:rPr>
                                    <m:sty m:val="p"/>
                                  </m:rPr>
                                  <w:rPr>
                                    <w:rFonts w:ascii="Cambria Math" w:hAnsi="Cambria Math"/>
                                  </w:rPr>
                                  <m:t>total number of certified beds in nursing home, i</m:t>
                                </m:r>
                              </m:num>
                              <m:den>
                                <m:r>
                                  <m:rPr>
                                    <m:sty m:val="p"/>
                                  </m:rPr>
                                  <w:rPr>
                                    <w:rFonts w:ascii="Cambria Math" w:hAnsi="Cambria Math"/>
                                  </w:rPr>
                                  <m:t>total number of certified beds in HRR</m:t>
                                </m:r>
                              </m:den>
                            </m:f>
                          </m:e>
                        </m:d>
                      </m:e>
                      <m:sup>
                        <m:r>
                          <w:rPr>
                            <w:rFonts w:ascii="Cambria Math" w:hAnsi="Cambria Math"/>
                          </w:rPr>
                          <m:t>2</m:t>
                        </m:r>
                      </m:sup>
                    </m:sSup>
                  </m:e>
                </m:nary>
              </m:oMath>
            </m:oMathPara>
          </w:p>
        </w:tc>
        <w:tc>
          <w:tcPr>
            <w:tcW w:w="704" w:type="dxa"/>
            <w:vAlign w:val="center"/>
          </w:tcPr>
          <w:p w14:paraId="10796E88" w14:textId="77777777" w:rsidR="0013214B" w:rsidRDefault="0013214B" w:rsidP="00887D1D">
            <w:pPr>
              <w:widowControl w:val="0"/>
              <w:autoSpaceDE w:val="0"/>
              <w:autoSpaceDN w:val="0"/>
              <w:adjustRightInd w:val="0"/>
              <w:spacing w:line="480" w:lineRule="auto"/>
            </w:pPr>
            <w:r>
              <w:t>(1)</w:t>
            </w:r>
          </w:p>
        </w:tc>
      </w:tr>
    </w:tbl>
    <w:p w14:paraId="088FBC91" w14:textId="77777777" w:rsidR="0013214B" w:rsidRDefault="0013214B" w:rsidP="0013214B">
      <w:pPr>
        <w:widowControl w:val="0"/>
        <w:autoSpaceDE w:val="0"/>
        <w:autoSpaceDN w:val="0"/>
        <w:adjustRightInd w:val="0"/>
        <w:spacing w:line="480" w:lineRule="auto"/>
        <w:ind w:firstLine="720"/>
      </w:pPr>
      <w:r>
        <w:t xml:space="preserve">Similar to the chain-accounted Herfindahl-Hirschman Index </w:t>
      </w:r>
      <w:r>
        <w:fldChar w:fldCharType="begin" w:fldLock="1"/>
      </w:r>
      <w:r>
        <w:instrText>ADDIN CSL_CITATION {"citationItems":[{"id":"ITEM-1","itemData":{"author":[{"dropping-particle":"","family":"Hirth","given":"Richard A","non-dropping-particle":"","parse-names":false,"suffix":""},{"dropping-particle":"","family":"Zheng","given":"Qing","non-dropping-particle":"","parse-names":false,"suffix":""},{"dropping-particle":"","family":"Grabowski","given":"David C","non-dropping-particle":"","parse-names":false,"suffix":""},{"dropping-particle":"","family":"Stevenson","given":"David G","non-dropping-particle":"","parse-names":false,"suffix":""},{"dropping-particle":"","family":"Intrator","given":"Orna","non-dropping-particle":"","parse-names":false,"suffix":""},{"dropping-particle":"","family":"Banaszak-Holl","given":"Jane","non-dropping-particle":"","parse-names":false,"suffix":""}],"container-title":"Medical Care Research and Review","id":"ITEM-1","issue":"0","issued":{"date-parts":[["2017"]]},"page":"1-22","title":"The Effects of Chains on the Measurement of Competition in the Nursing Home Industry","type":"article-journal","volume":"0"},"uris":["http://www.mendeley.com/documents/?uuid=a99e55d4-baab-4eb4-9028-98e6b67b47a8"]}],"mendeley":{"formattedCitation":"[4]","plainTextFormattedCitation":"[4]","previouslyFormattedCitation":"&lt;sup&gt;4&lt;/sup&gt;"},"properties":{"noteIndex":0},"schema":"https://github.com/citation-style-language/schema/raw/master/csl-citation.json"}</w:instrText>
      </w:r>
      <w:r>
        <w:fldChar w:fldCharType="separate"/>
      </w:r>
      <w:r w:rsidRPr="005F02AA">
        <w:rPr>
          <w:noProof/>
        </w:rPr>
        <w:t>[4]</w:t>
      </w:r>
      <w:r>
        <w:fldChar w:fldCharType="end"/>
      </w:r>
      <w:r>
        <w:t xml:space="preserve">, the affiliation-accounted Herfindahl-Hirschman Index (AHHI) accounts for the ownership networks of nursing homes with shared ownership by a registered organization. This metric is always equivalent to or greater than the HHI. The computation of the AHHI among n, nursing homes located in </w:t>
      </w:r>
      <w:proofErr w:type="gramStart"/>
      <w:r>
        <w:t>a</w:t>
      </w:r>
      <w:proofErr w:type="gramEnd"/>
      <w:r>
        <w:t xml:space="preserve"> HRR is:</w:t>
      </w:r>
    </w:p>
    <w:tbl>
      <w:tblPr>
        <w:tblStyle w:val="TableGrid"/>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704"/>
      </w:tblGrid>
      <w:tr w:rsidR="0013214B" w14:paraId="433A17B9" w14:textId="77777777" w:rsidTr="00887D1D">
        <w:trPr>
          <w:cantSplit/>
          <w:jc w:val="center"/>
        </w:trPr>
        <w:tc>
          <w:tcPr>
            <w:tcW w:w="8647" w:type="dxa"/>
            <w:vAlign w:val="center"/>
          </w:tcPr>
          <w:p w14:paraId="0D41C864" w14:textId="77777777" w:rsidR="0013214B" w:rsidRDefault="0013214B" w:rsidP="00887D1D">
            <w:pPr>
              <w:widowControl w:val="0"/>
              <w:autoSpaceDE w:val="0"/>
              <w:autoSpaceDN w:val="0"/>
              <w:adjustRightInd w:val="0"/>
              <w:spacing w:line="480" w:lineRule="auto"/>
            </w:pPr>
            <m:oMathPara>
              <m:oMath>
                <m:r>
                  <w:rPr>
                    <w:rFonts w:ascii="Cambria Math" w:hAnsi="Cambria Math"/>
                  </w:rPr>
                  <m:t>AHHI=</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m:rPr>
                                    <m:sty m:val="p"/>
                                  </m:rPr>
                                  <w:rPr>
                                    <w:rFonts w:ascii="Cambria Math" w:hAnsi="Cambria Math"/>
                                  </w:rPr>
                                  <m:t>total number of certified beds in affiliated nursing home group, i</m:t>
                                </m:r>
                              </m:num>
                              <m:den>
                                <m:r>
                                  <m:rPr>
                                    <m:sty m:val="p"/>
                                  </m:rPr>
                                  <w:rPr>
                                    <w:rFonts w:ascii="Cambria Math" w:hAnsi="Cambria Math"/>
                                  </w:rPr>
                                  <m:t>total number of certified beds in HRR</m:t>
                                </m:r>
                              </m:den>
                            </m:f>
                          </m:e>
                        </m:d>
                      </m:e>
                      <m:sup>
                        <m:r>
                          <w:rPr>
                            <w:rFonts w:ascii="Cambria Math" w:hAnsi="Cambria Math"/>
                          </w:rPr>
                          <m:t>2</m:t>
                        </m:r>
                      </m:sup>
                    </m:sSup>
                  </m:e>
                </m:nary>
              </m:oMath>
            </m:oMathPara>
          </w:p>
        </w:tc>
        <w:tc>
          <w:tcPr>
            <w:tcW w:w="704" w:type="dxa"/>
            <w:vAlign w:val="center"/>
          </w:tcPr>
          <w:p w14:paraId="2FB16345" w14:textId="77777777" w:rsidR="0013214B" w:rsidRDefault="0013214B" w:rsidP="00887D1D">
            <w:pPr>
              <w:widowControl w:val="0"/>
              <w:autoSpaceDE w:val="0"/>
              <w:autoSpaceDN w:val="0"/>
              <w:adjustRightInd w:val="0"/>
              <w:spacing w:line="480" w:lineRule="auto"/>
            </w:pPr>
            <w:r>
              <w:t>(2)</w:t>
            </w:r>
          </w:p>
        </w:tc>
      </w:tr>
    </w:tbl>
    <w:p w14:paraId="26ACDCE4" w14:textId="77777777" w:rsidR="0013214B" w:rsidRDefault="0013214B" w:rsidP="0013214B">
      <w:pPr>
        <w:widowControl w:val="0"/>
        <w:autoSpaceDE w:val="0"/>
        <w:autoSpaceDN w:val="0"/>
        <w:adjustRightInd w:val="0"/>
        <w:spacing w:line="480" w:lineRule="auto"/>
        <w:ind w:firstLine="720"/>
      </w:pPr>
      <w:r>
        <w:t>The delta Herfindahl-Hirschman Index (</w:t>
      </w:r>
      <m:oMath>
        <m:r>
          <w:rPr>
            <w:rFonts w:ascii="Cambria Math" w:hAnsi="Cambria Math"/>
          </w:rPr>
          <m:t>∆</m:t>
        </m:r>
      </m:oMath>
      <w:r>
        <w:t xml:space="preserve">HHI) is the difference between the AHH and the HHI </w:t>
      </w:r>
      <w:r>
        <w:fldChar w:fldCharType="begin" w:fldLock="1"/>
      </w:r>
      <w:r>
        <w:instrText>ADDIN CSL_CITATION {"citationItems":[{"id":"ITEM-1","itemData":{"author":[{"dropping-particle":"","family":"Hirth","given":"Richard A","non-dropping-particle":"","parse-names":false,"suffix":""},{"dropping-particle":"","family":"Zheng","given":"Qing","non-dropping-particle":"","parse-names":false,"suffix":""},{"dropping-particle":"","family":"Grabowski","given":"David C","non-dropping-particle":"","parse-names":false,"suffix":""},{"dropping-particle":"","family":"Stevenson","given":"David G","non-dropping-particle":"","parse-names":false,"suffix":""},{"dropping-particle":"","family":"Intrator","given":"Orna","non-dropping-particle":"","parse-names":false,"suffix":""},{"dropping-particle":"","family":"Banaszak-Holl","given":"Jane","non-dropping-particle":"","parse-names":false,"suffix":""}],"container-title":"Medical Care Research and Review","id":"ITEM-1","issue":"0","issued":{"date-parts":[["2017"]]},"page":"1-22","title":"The Effects of Chains on the Measurement of Competition in the Nursing Home Industry","type":"article-journal","volume":"0"},"uris":["http://www.mendeley.com/documents/?uuid=a99e55d4-baab-4eb4-9028-98e6b67b47a8"]}],"mendeley":{"formattedCitation":"[4]","plainTextFormattedCitation":"[4]","previouslyFormattedCitation":"&lt;sup&gt;4&lt;/sup&gt;"},"properties":{"noteIndex":0},"schema":"https://github.com/citation-style-language/schema/raw/master/csl-citation.json"}</w:instrText>
      </w:r>
      <w:r>
        <w:fldChar w:fldCharType="separate"/>
      </w:r>
      <w:r w:rsidRPr="005F02AA">
        <w:rPr>
          <w:noProof/>
        </w:rPr>
        <w:t>[4]</w:t>
      </w:r>
      <w:r>
        <w:fldChar w:fldCharType="end"/>
      </w:r>
      <w:r>
        <w:t xml:space="preserve">. This denotes the increase in the proportion of market concentration per HRR that arises purely from the super-organization of nursing homes. </w:t>
      </w:r>
    </w:p>
    <w:p w14:paraId="70CD0F67" w14:textId="77777777" w:rsidR="00E95803" w:rsidRDefault="00E95803"/>
    <w:sectPr w:rsidR="00E958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14B"/>
    <w:rsid w:val="0013214B"/>
    <w:rsid w:val="00E95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192ED"/>
  <w15:chartTrackingRefBased/>
  <w15:docId w15:val="{B6ED4DBB-AFA8-4159-A32D-3B1F3882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14B"/>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214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981</Words>
  <Characters>5596</Characters>
  <Application>Microsoft Office Word</Application>
  <DocSecurity>0</DocSecurity>
  <Lines>46</Lines>
  <Paragraphs>13</Paragraphs>
  <ScaleCrop>false</ScaleCrop>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Bevins</dc:creator>
  <cp:keywords/>
  <dc:description/>
  <cp:lastModifiedBy>Karina Bevins</cp:lastModifiedBy>
  <cp:revision>1</cp:revision>
  <dcterms:created xsi:type="dcterms:W3CDTF">2020-06-08T14:37:00Z</dcterms:created>
  <dcterms:modified xsi:type="dcterms:W3CDTF">2020-06-08T14:37:00Z</dcterms:modified>
</cp:coreProperties>
</file>